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5E259" w14:textId="2CFB036B" w:rsidR="001A4E58" w:rsidRPr="00D824F1" w:rsidRDefault="009855FD" w:rsidP="001A4E58">
      <w:pPr>
        <w:spacing w:line="276" w:lineRule="auto"/>
        <w:jc w:val="center"/>
        <w:rPr>
          <w:rFonts w:cstheme="minorHAnsi"/>
          <w:b/>
          <w:color w:val="000000" w:themeColor="text1"/>
        </w:rPr>
      </w:pPr>
      <w:r w:rsidRPr="009855FD">
        <w:rPr>
          <w:rFonts w:cstheme="minorHAnsi"/>
          <w:b/>
          <w:bCs/>
          <w:color w:val="000000" w:themeColor="text1"/>
        </w:rPr>
        <w:t>O TRANSTORNO DO ESPECTRO AUTISTA SOB A PERSPECTIVA DA PEDAGOGIA HISTÓRICO-CRÍTICA: POSSÍVEIS APROXIMAÇÕES</w:t>
      </w:r>
    </w:p>
    <w:p w14:paraId="24D9327F" w14:textId="77777777" w:rsidR="001A4E58" w:rsidRPr="00D22E16" w:rsidRDefault="001A4E58" w:rsidP="001A4E58">
      <w:pPr>
        <w:spacing w:line="276" w:lineRule="auto"/>
        <w:rPr>
          <w:rFonts w:eastAsia="Arial" w:cstheme="minorHAnsi"/>
          <w:color w:val="000000" w:themeColor="text1"/>
          <w:sz w:val="22"/>
          <w:szCs w:val="22"/>
        </w:rPr>
      </w:pPr>
    </w:p>
    <w:p w14:paraId="3B72F486" w14:textId="2004C325" w:rsidR="001A4E58" w:rsidRPr="00D22E16" w:rsidRDefault="001030AF" w:rsidP="001A4E58">
      <w:pPr>
        <w:spacing w:line="276" w:lineRule="auto"/>
        <w:jc w:val="center"/>
        <w:rPr>
          <w:rFonts w:cstheme="minorHAnsi"/>
          <w:color w:val="000000" w:themeColor="text1"/>
          <w:sz w:val="22"/>
          <w:szCs w:val="22"/>
          <w:vertAlign w:val="superscript"/>
        </w:rPr>
      </w:pPr>
      <w:r w:rsidRPr="001030AF">
        <w:rPr>
          <w:rFonts w:cstheme="minorHAnsi"/>
          <w:color w:val="000000" w:themeColor="text1"/>
          <w:sz w:val="22"/>
          <w:szCs w:val="22"/>
        </w:rPr>
        <w:t>André Henrique Boazejewski Pereira</w:t>
      </w:r>
      <w:r>
        <w:rPr>
          <w:rFonts w:cstheme="minorHAnsi"/>
          <w:color w:val="000000" w:themeColor="text1"/>
          <w:sz w:val="22"/>
          <w:szCs w:val="22"/>
        </w:rPr>
        <w:t xml:space="preserve"> </w:t>
      </w:r>
      <w:r w:rsidR="001A4E58" w:rsidRPr="00D22E16">
        <w:rPr>
          <w:rFonts w:cstheme="minorHAnsi"/>
          <w:color w:val="000000" w:themeColor="text1"/>
          <w:sz w:val="22"/>
          <w:szCs w:val="22"/>
        </w:rPr>
        <w:t xml:space="preserve">1, </w:t>
      </w:r>
      <w:r w:rsidRPr="001030AF">
        <w:rPr>
          <w:rFonts w:cstheme="minorHAnsi"/>
          <w:color w:val="000000" w:themeColor="text1"/>
          <w:sz w:val="22"/>
          <w:szCs w:val="22"/>
        </w:rPr>
        <w:t>Scheila Tessari</w:t>
      </w:r>
      <w:r>
        <w:rPr>
          <w:rFonts w:cstheme="minorHAnsi"/>
          <w:color w:val="000000" w:themeColor="text1"/>
          <w:sz w:val="22"/>
          <w:szCs w:val="22"/>
        </w:rPr>
        <w:t xml:space="preserve"> </w:t>
      </w:r>
      <w:r w:rsidR="001A4E58" w:rsidRPr="00D22E16">
        <w:rPr>
          <w:rFonts w:cstheme="minorHAnsi"/>
          <w:color w:val="000000" w:themeColor="text1"/>
          <w:sz w:val="22"/>
          <w:szCs w:val="22"/>
        </w:rPr>
        <w:t xml:space="preserve">2, </w:t>
      </w:r>
      <w:r w:rsidR="00BE6191">
        <w:rPr>
          <w:rFonts w:cstheme="minorHAnsi"/>
          <w:color w:val="000000" w:themeColor="text1"/>
          <w:sz w:val="22"/>
          <w:szCs w:val="22"/>
        </w:rPr>
        <w:t xml:space="preserve">Desiré </w:t>
      </w:r>
      <w:r w:rsidR="00BE6191" w:rsidRPr="00BE6191">
        <w:rPr>
          <w:rFonts w:cstheme="minorHAnsi"/>
          <w:color w:val="000000" w:themeColor="text1"/>
          <w:sz w:val="22"/>
          <w:szCs w:val="22"/>
        </w:rPr>
        <w:t>Luciane Dominschek</w:t>
      </w:r>
      <w:r w:rsidR="001A4E58" w:rsidRPr="00D22E16">
        <w:rPr>
          <w:rFonts w:cstheme="minorHAnsi"/>
          <w:color w:val="000000" w:themeColor="text1"/>
          <w:sz w:val="22"/>
          <w:szCs w:val="22"/>
        </w:rPr>
        <w:t xml:space="preserve"> 3</w:t>
      </w:r>
    </w:p>
    <w:p w14:paraId="441B8FF9" w14:textId="19C7AD80" w:rsidR="001A4E58" w:rsidRPr="00D22E16" w:rsidRDefault="001A4E58" w:rsidP="001A4E58">
      <w:pPr>
        <w:pStyle w:val="BCAuthorAddress"/>
        <w:spacing w:after="0" w:line="276" w:lineRule="auto"/>
        <w:ind w:right="0"/>
        <w:jc w:val="center"/>
        <w:rPr>
          <w:rFonts w:asciiTheme="minorHAnsi" w:hAnsiTheme="minorHAnsi" w:cstheme="minorHAnsi"/>
          <w:i w:val="0"/>
          <w:color w:val="000000" w:themeColor="text1"/>
          <w:sz w:val="22"/>
          <w:szCs w:val="22"/>
          <w:lang w:val="pt-BR"/>
        </w:rPr>
      </w:pPr>
      <w:r w:rsidRPr="00D22E16">
        <w:rPr>
          <w:rFonts w:asciiTheme="minorHAnsi" w:hAnsiTheme="minorHAnsi" w:cstheme="minorHAnsi"/>
          <w:i w:val="0"/>
          <w:color w:val="000000" w:themeColor="text1"/>
          <w:sz w:val="22"/>
          <w:szCs w:val="22"/>
          <w:lang w:val="pt-BR"/>
        </w:rPr>
        <w:t xml:space="preserve">1. </w:t>
      </w:r>
      <w:r w:rsidR="00D71EEF">
        <w:rPr>
          <w:rFonts w:asciiTheme="minorHAnsi" w:hAnsiTheme="minorHAnsi" w:cstheme="minorHAnsi"/>
          <w:i w:val="0"/>
          <w:color w:val="000000" w:themeColor="text1"/>
          <w:sz w:val="22"/>
          <w:szCs w:val="22"/>
          <w:lang w:val="pt-BR"/>
        </w:rPr>
        <w:t xml:space="preserve">Pós-Graduado em </w:t>
      </w:r>
      <w:r w:rsidR="00F11708">
        <w:rPr>
          <w:rFonts w:asciiTheme="minorHAnsi" w:hAnsiTheme="minorHAnsi" w:cstheme="minorHAnsi"/>
          <w:i w:val="0"/>
          <w:color w:val="000000" w:themeColor="text1"/>
          <w:sz w:val="22"/>
          <w:szCs w:val="22"/>
          <w:lang w:val="pt-BR"/>
        </w:rPr>
        <w:t xml:space="preserve">Educação Especial </w:t>
      </w:r>
      <w:r w:rsidR="00A70CC1">
        <w:rPr>
          <w:rFonts w:asciiTheme="minorHAnsi" w:hAnsiTheme="minorHAnsi" w:cstheme="minorHAnsi"/>
          <w:i w:val="0"/>
          <w:color w:val="000000" w:themeColor="text1"/>
          <w:sz w:val="22"/>
          <w:szCs w:val="22"/>
          <w:lang w:val="pt-BR"/>
        </w:rPr>
        <w:t>(</w:t>
      </w:r>
      <w:r w:rsidR="00D71EEF">
        <w:rPr>
          <w:rFonts w:asciiTheme="minorHAnsi" w:hAnsiTheme="minorHAnsi" w:cstheme="minorHAnsi"/>
          <w:i w:val="0"/>
          <w:color w:val="000000" w:themeColor="text1"/>
          <w:sz w:val="22"/>
          <w:szCs w:val="22"/>
          <w:lang w:val="pt-BR"/>
        </w:rPr>
        <w:t>UNINTER</w:t>
      </w:r>
      <w:r w:rsidR="00A70CC1">
        <w:rPr>
          <w:rFonts w:asciiTheme="minorHAnsi" w:hAnsiTheme="minorHAnsi" w:cstheme="minorHAnsi"/>
          <w:i w:val="0"/>
          <w:color w:val="000000" w:themeColor="text1"/>
          <w:sz w:val="22"/>
          <w:szCs w:val="22"/>
          <w:lang w:val="pt-BR"/>
        </w:rPr>
        <w:t>)</w:t>
      </w:r>
      <w:r w:rsidR="00D71EEF">
        <w:rPr>
          <w:rFonts w:asciiTheme="minorHAnsi" w:hAnsiTheme="minorHAnsi" w:cstheme="minorHAnsi"/>
          <w:i w:val="0"/>
          <w:color w:val="000000" w:themeColor="text1"/>
          <w:sz w:val="22"/>
          <w:szCs w:val="22"/>
          <w:lang w:val="pt-BR"/>
        </w:rPr>
        <w:t>, Professor da Rede Municipal de Curitiba</w:t>
      </w:r>
    </w:p>
    <w:p w14:paraId="706F0E62" w14:textId="5CDCB380" w:rsidR="001A4E58" w:rsidRPr="00D22E16" w:rsidRDefault="001A4E58" w:rsidP="001A4E58">
      <w:pPr>
        <w:pStyle w:val="BCAuthorAddress"/>
        <w:spacing w:after="0" w:line="276" w:lineRule="auto"/>
        <w:ind w:right="0"/>
        <w:jc w:val="center"/>
        <w:rPr>
          <w:rFonts w:asciiTheme="minorHAnsi" w:hAnsiTheme="minorHAnsi" w:cstheme="minorHAnsi"/>
          <w:i w:val="0"/>
          <w:color w:val="000000" w:themeColor="text1"/>
          <w:sz w:val="22"/>
          <w:szCs w:val="22"/>
          <w:lang w:val="pt-BR"/>
        </w:rPr>
      </w:pPr>
      <w:r w:rsidRPr="00D22E16">
        <w:rPr>
          <w:rFonts w:asciiTheme="minorHAnsi" w:hAnsiTheme="minorHAnsi" w:cstheme="minorHAnsi"/>
          <w:i w:val="0"/>
          <w:color w:val="000000" w:themeColor="text1"/>
          <w:sz w:val="22"/>
          <w:szCs w:val="22"/>
          <w:lang w:val="pt-BR"/>
        </w:rPr>
        <w:t xml:space="preserve">2. </w:t>
      </w:r>
      <w:r w:rsidR="001B07D9">
        <w:rPr>
          <w:rFonts w:asciiTheme="minorHAnsi" w:hAnsiTheme="minorHAnsi" w:cstheme="minorHAnsi"/>
          <w:i w:val="0"/>
          <w:color w:val="000000" w:themeColor="text1"/>
          <w:sz w:val="22"/>
          <w:szCs w:val="22"/>
          <w:lang w:val="pt-BR"/>
        </w:rPr>
        <w:t xml:space="preserve">Graduada em Educação Especial </w:t>
      </w:r>
      <w:r w:rsidR="00A70CC1">
        <w:rPr>
          <w:rFonts w:asciiTheme="minorHAnsi" w:hAnsiTheme="minorHAnsi" w:cstheme="minorHAnsi"/>
          <w:i w:val="0"/>
          <w:color w:val="000000" w:themeColor="text1"/>
          <w:sz w:val="22"/>
          <w:szCs w:val="22"/>
          <w:lang w:val="pt-BR"/>
        </w:rPr>
        <w:t>(</w:t>
      </w:r>
      <w:r w:rsidR="001B07D9">
        <w:rPr>
          <w:rFonts w:asciiTheme="minorHAnsi" w:hAnsiTheme="minorHAnsi" w:cstheme="minorHAnsi"/>
          <w:i w:val="0"/>
          <w:color w:val="000000" w:themeColor="text1"/>
          <w:sz w:val="22"/>
          <w:szCs w:val="22"/>
          <w:lang w:val="pt-BR"/>
        </w:rPr>
        <w:t>UniCV</w:t>
      </w:r>
      <w:r w:rsidR="00A70CC1">
        <w:rPr>
          <w:rFonts w:asciiTheme="minorHAnsi" w:hAnsiTheme="minorHAnsi" w:cstheme="minorHAnsi"/>
          <w:i w:val="0"/>
          <w:color w:val="000000" w:themeColor="text1"/>
          <w:sz w:val="22"/>
          <w:szCs w:val="22"/>
          <w:lang w:val="pt-BR"/>
        </w:rPr>
        <w:t>)</w:t>
      </w:r>
      <w:r w:rsidR="001B07D9">
        <w:rPr>
          <w:rFonts w:asciiTheme="minorHAnsi" w:hAnsiTheme="minorHAnsi" w:cstheme="minorHAnsi"/>
          <w:i w:val="0"/>
          <w:color w:val="000000" w:themeColor="text1"/>
          <w:sz w:val="22"/>
          <w:szCs w:val="22"/>
          <w:lang w:val="pt-BR"/>
        </w:rPr>
        <w:t>, Professor</w:t>
      </w:r>
      <w:r w:rsidR="00A70CC1">
        <w:rPr>
          <w:rFonts w:asciiTheme="minorHAnsi" w:hAnsiTheme="minorHAnsi" w:cstheme="minorHAnsi"/>
          <w:i w:val="0"/>
          <w:color w:val="000000" w:themeColor="text1"/>
          <w:sz w:val="22"/>
          <w:szCs w:val="22"/>
          <w:lang w:val="pt-BR"/>
        </w:rPr>
        <w:t>a</w:t>
      </w:r>
      <w:r w:rsidR="001B07D9">
        <w:rPr>
          <w:rFonts w:asciiTheme="minorHAnsi" w:hAnsiTheme="minorHAnsi" w:cstheme="minorHAnsi"/>
          <w:i w:val="0"/>
          <w:color w:val="000000" w:themeColor="text1"/>
          <w:sz w:val="22"/>
          <w:szCs w:val="22"/>
          <w:lang w:val="pt-BR"/>
        </w:rPr>
        <w:t xml:space="preserve"> da Rede Municipal de Curitiba</w:t>
      </w:r>
    </w:p>
    <w:p w14:paraId="6F87B804" w14:textId="19DF0A79" w:rsidR="001A4E58" w:rsidRPr="00D22E16" w:rsidRDefault="001A4E58" w:rsidP="001A4E58">
      <w:pPr>
        <w:pStyle w:val="BCAuthorAddress"/>
        <w:spacing w:after="0" w:line="276" w:lineRule="auto"/>
        <w:ind w:right="0"/>
        <w:jc w:val="center"/>
        <w:rPr>
          <w:rFonts w:asciiTheme="minorHAnsi" w:hAnsiTheme="minorHAnsi" w:cstheme="minorHAnsi"/>
          <w:i w:val="0"/>
          <w:color w:val="000000" w:themeColor="text1"/>
          <w:sz w:val="22"/>
          <w:szCs w:val="22"/>
          <w:lang w:val="pt-BR"/>
        </w:rPr>
      </w:pPr>
      <w:r w:rsidRPr="00D22E16">
        <w:rPr>
          <w:rFonts w:asciiTheme="minorHAnsi" w:hAnsiTheme="minorHAnsi" w:cstheme="minorHAnsi"/>
          <w:i w:val="0"/>
          <w:color w:val="000000" w:themeColor="text1"/>
          <w:sz w:val="22"/>
          <w:szCs w:val="22"/>
          <w:lang w:val="pt-BR"/>
        </w:rPr>
        <w:t>3. Professor</w:t>
      </w:r>
      <w:r w:rsidR="00A70CC1">
        <w:rPr>
          <w:rFonts w:asciiTheme="minorHAnsi" w:hAnsiTheme="minorHAnsi" w:cstheme="minorHAnsi"/>
          <w:i w:val="0"/>
          <w:color w:val="000000" w:themeColor="text1"/>
          <w:sz w:val="22"/>
          <w:szCs w:val="22"/>
          <w:lang w:val="pt-BR"/>
        </w:rPr>
        <w:t>a</w:t>
      </w:r>
      <w:r w:rsidRPr="00D22E16">
        <w:rPr>
          <w:rFonts w:asciiTheme="minorHAnsi" w:hAnsiTheme="minorHAnsi" w:cstheme="minorHAnsi"/>
          <w:i w:val="0"/>
          <w:color w:val="000000" w:themeColor="text1"/>
          <w:sz w:val="22"/>
          <w:szCs w:val="22"/>
          <w:lang w:val="pt-BR"/>
        </w:rPr>
        <w:t xml:space="preserve"> da UNINTER - Orientador</w:t>
      </w:r>
      <w:r w:rsidR="00D71EEF">
        <w:rPr>
          <w:rFonts w:asciiTheme="minorHAnsi" w:hAnsiTheme="minorHAnsi" w:cstheme="minorHAnsi"/>
          <w:i w:val="0"/>
          <w:color w:val="000000" w:themeColor="text1"/>
          <w:sz w:val="22"/>
          <w:szCs w:val="22"/>
          <w:lang w:val="pt-BR"/>
        </w:rPr>
        <w:t>a</w:t>
      </w:r>
    </w:p>
    <w:p w14:paraId="44AB5961" w14:textId="77777777" w:rsidR="001A4E58" w:rsidRPr="00D22E16" w:rsidRDefault="001A4E58" w:rsidP="00A43A33">
      <w:pPr>
        <w:rPr>
          <w:rFonts w:cstheme="minorHAnsi"/>
          <w:color w:val="000000" w:themeColor="text1"/>
          <w:sz w:val="22"/>
          <w:szCs w:val="22"/>
        </w:rPr>
      </w:pPr>
    </w:p>
    <w:p w14:paraId="7C90B5AD" w14:textId="0AFA399E" w:rsidR="001A4E58" w:rsidRPr="00D22E16" w:rsidRDefault="001A4E58" w:rsidP="00C8139C">
      <w:pPr>
        <w:spacing w:line="276" w:lineRule="auto"/>
        <w:jc w:val="right"/>
        <w:rPr>
          <w:rFonts w:eastAsia="Times New Roman" w:cstheme="minorHAnsi"/>
          <w:color w:val="000000" w:themeColor="text1"/>
          <w:sz w:val="22"/>
          <w:szCs w:val="22"/>
          <w:lang w:eastAsia="pt-BR"/>
        </w:rPr>
      </w:pPr>
      <w:r w:rsidRPr="00D22E16">
        <w:rPr>
          <w:rFonts w:cstheme="minorHAnsi"/>
          <w:b/>
          <w:color w:val="000000" w:themeColor="text1"/>
          <w:sz w:val="22"/>
          <w:szCs w:val="22"/>
        </w:rPr>
        <w:t>Grupo de trabalho:</w:t>
      </w:r>
      <w:r w:rsidRPr="00D22E16">
        <w:rPr>
          <w:rFonts w:eastAsia="Times New Roman" w:cstheme="minorHAnsi"/>
          <w:color w:val="000000" w:themeColor="text1"/>
          <w:sz w:val="22"/>
          <w:szCs w:val="22"/>
          <w:lang w:eastAsia="pt-BR"/>
        </w:rPr>
        <w:t xml:space="preserve"> </w:t>
      </w:r>
      <w:r w:rsidR="00EA7E99" w:rsidRPr="00C8139C">
        <w:rPr>
          <w:rFonts w:eastAsia="Times New Roman" w:cstheme="minorHAnsi"/>
          <w:b/>
          <w:bCs/>
          <w:color w:val="000000" w:themeColor="text1"/>
          <w:sz w:val="22"/>
          <w:szCs w:val="22"/>
          <w:lang w:eastAsia="pt-BR"/>
        </w:rPr>
        <w:t>GT 1</w:t>
      </w:r>
      <w:r w:rsidR="00EA7E99">
        <w:rPr>
          <w:rFonts w:eastAsia="Times New Roman" w:cstheme="minorHAnsi"/>
          <w:color w:val="000000" w:themeColor="text1"/>
          <w:sz w:val="22"/>
          <w:szCs w:val="22"/>
          <w:lang w:eastAsia="pt-BR"/>
        </w:rPr>
        <w:t xml:space="preserve"> -</w:t>
      </w:r>
      <w:r w:rsidR="00EA7E99" w:rsidRPr="00EA7E99">
        <w:rPr>
          <w:rFonts w:eastAsia="Times New Roman" w:cstheme="minorHAnsi"/>
          <w:color w:val="000000" w:themeColor="text1"/>
          <w:sz w:val="22"/>
          <w:szCs w:val="22"/>
          <w:lang w:eastAsia="pt-BR"/>
        </w:rPr>
        <w:t xml:space="preserve">Educação, História, Sociedade </w:t>
      </w:r>
      <w:r w:rsidR="00EA7E99">
        <w:rPr>
          <w:rFonts w:eastAsia="Times New Roman" w:cstheme="minorHAnsi"/>
          <w:color w:val="000000" w:themeColor="text1"/>
          <w:sz w:val="22"/>
          <w:szCs w:val="22"/>
          <w:lang w:eastAsia="pt-BR"/>
        </w:rPr>
        <w:t>e</w:t>
      </w:r>
      <w:r w:rsidR="00EA7E99" w:rsidRPr="00EA7E99">
        <w:rPr>
          <w:rFonts w:eastAsia="Times New Roman" w:cstheme="minorHAnsi"/>
          <w:color w:val="000000" w:themeColor="text1"/>
          <w:sz w:val="22"/>
          <w:szCs w:val="22"/>
          <w:lang w:eastAsia="pt-BR"/>
        </w:rPr>
        <w:t xml:space="preserve"> Políticas: Práxis, Gestão </w:t>
      </w:r>
      <w:r w:rsidR="00EA7E99">
        <w:rPr>
          <w:rFonts w:eastAsia="Times New Roman" w:cstheme="minorHAnsi"/>
          <w:color w:val="000000" w:themeColor="text1"/>
          <w:sz w:val="22"/>
          <w:szCs w:val="22"/>
          <w:lang w:eastAsia="pt-BR"/>
        </w:rPr>
        <w:t>e</w:t>
      </w:r>
      <w:r w:rsidR="00EA7E99" w:rsidRPr="00EA7E99">
        <w:rPr>
          <w:rFonts w:eastAsia="Times New Roman" w:cstheme="minorHAnsi"/>
          <w:color w:val="000000" w:themeColor="text1"/>
          <w:sz w:val="22"/>
          <w:szCs w:val="22"/>
          <w:lang w:eastAsia="pt-BR"/>
        </w:rPr>
        <w:t xml:space="preserve"> Formação Docente</w:t>
      </w:r>
    </w:p>
    <w:p w14:paraId="5696AD13" w14:textId="77777777" w:rsidR="001A4E58" w:rsidRPr="00D22E16" w:rsidRDefault="001A4E58" w:rsidP="00C8139C">
      <w:pPr>
        <w:jc w:val="both"/>
        <w:rPr>
          <w:rFonts w:cstheme="minorHAnsi"/>
          <w:color w:val="000000" w:themeColor="text1"/>
          <w:sz w:val="22"/>
          <w:szCs w:val="22"/>
          <w:shd w:val="clear" w:color="auto" w:fill="FFFFFF"/>
        </w:rPr>
      </w:pPr>
    </w:p>
    <w:p w14:paraId="6D7A9C39" w14:textId="77777777" w:rsidR="001A4E58" w:rsidRPr="00D824F1" w:rsidRDefault="001A4E58" w:rsidP="00C8139C">
      <w:pPr>
        <w:jc w:val="both"/>
        <w:rPr>
          <w:rFonts w:eastAsia="Arial" w:cstheme="minorHAnsi"/>
          <w:b/>
          <w:bCs/>
          <w:color w:val="000000" w:themeColor="text1"/>
        </w:rPr>
      </w:pPr>
      <w:r w:rsidRPr="00D824F1">
        <w:rPr>
          <w:rFonts w:eastAsia="Arial" w:cstheme="minorHAnsi"/>
          <w:b/>
          <w:bCs/>
          <w:color w:val="000000" w:themeColor="text1"/>
        </w:rPr>
        <w:t>RESUMO</w:t>
      </w:r>
    </w:p>
    <w:p w14:paraId="21F312AA" w14:textId="77777777" w:rsidR="001A4E58" w:rsidRPr="00D22E16" w:rsidRDefault="001A4E58" w:rsidP="00C8139C">
      <w:pPr>
        <w:jc w:val="both"/>
        <w:rPr>
          <w:rFonts w:cstheme="minorHAnsi"/>
          <w:color w:val="000000" w:themeColor="text1"/>
          <w:sz w:val="22"/>
          <w:szCs w:val="22"/>
        </w:rPr>
      </w:pPr>
    </w:p>
    <w:p w14:paraId="1107611F" w14:textId="0DB2217B" w:rsidR="00400662" w:rsidRPr="00400662" w:rsidRDefault="00400662" w:rsidP="00400662">
      <w:pPr>
        <w:spacing w:line="276" w:lineRule="auto"/>
        <w:jc w:val="both"/>
        <w:rPr>
          <w:rFonts w:eastAsia="Arial" w:cstheme="minorHAnsi"/>
          <w:color w:val="000000" w:themeColor="text1"/>
          <w:sz w:val="22"/>
          <w:szCs w:val="22"/>
        </w:rPr>
      </w:pPr>
      <w:r w:rsidRPr="00400662">
        <w:rPr>
          <w:rFonts w:eastAsia="Arial" w:cstheme="minorHAnsi"/>
          <w:color w:val="000000" w:themeColor="text1"/>
          <w:sz w:val="22"/>
          <w:szCs w:val="22"/>
        </w:rPr>
        <w:t xml:space="preserve">A inclusão escolar de estudantes com Transtorno do Espectro Autista (TEA) exige mais do que garantir a matrícula em escolas regulares: demanda uma prática pedagógica que assegure o direito ao conhecimento como mediação para o desenvolvimento humano. </w:t>
      </w:r>
      <w:r w:rsidR="0000440A">
        <w:rPr>
          <w:rFonts w:eastAsia="Arial" w:cstheme="minorHAnsi"/>
          <w:color w:val="000000" w:themeColor="text1"/>
          <w:sz w:val="22"/>
          <w:szCs w:val="22"/>
        </w:rPr>
        <w:t>Assim, e</w:t>
      </w:r>
      <w:r w:rsidRPr="00400662">
        <w:rPr>
          <w:rFonts w:eastAsia="Arial" w:cstheme="minorHAnsi"/>
          <w:color w:val="000000" w:themeColor="text1"/>
          <w:sz w:val="22"/>
          <w:szCs w:val="22"/>
        </w:rPr>
        <w:t>ste estudo</w:t>
      </w:r>
      <w:r w:rsidR="00917A11">
        <w:rPr>
          <w:rFonts w:eastAsia="Arial" w:cstheme="minorHAnsi"/>
          <w:color w:val="000000" w:themeColor="text1"/>
          <w:sz w:val="22"/>
          <w:szCs w:val="22"/>
        </w:rPr>
        <w:t xml:space="preserve"> preliminar</w:t>
      </w:r>
      <w:r w:rsidRPr="00400662">
        <w:rPr>
          <w:rFonts w:eastAsia="Arial" w:cstheme="minorHAnsi"/>
          <w:color w:val="000000" w:themeColor="text1"/>
          <w:sz w:val="22"/>
          <w:szCs w:val="22"/>
        </w:rPr>
        <w:t>, de natureza qualitativa e bibliográfica, fundamenta-se em autores como Dermeval Saviani (2013, 2018), Lev Vigotski (1991, 2021)</w:t>
      </w:r>
      <w:r w:rsidRPr="00C21F23">
        <w:rPr>
          <w:rFonts w:eastAsia="Arial" w:cstheme="minorHAnsi"/>
          <w:color w:val="000000" w:themeColor="text1"/>
          <w:sz w:val="22"/>
          <w:szCs w:val="22"/>
        </w:rPr>
        <w:t xml:space="preserve">, </w:t>
      </w:r>
      <w:r w:rsidRPr="00400662">
        <w:rPr>
          <w:rFonts w:eastAsia="Arial" w:cstheme="minorHAnsi"/>
          <w:color w:val="000000" w:themeColor="text1"/>
          <w:sz w:val="22"/>
          <w:szCs w:val="22"/>
        </w:rPr>
        <w:t>Diana Hudson (2019)</w:t>
      </w:r>
      <w:r w:rsidRPr="00C21F23">
        <w:rPr>
          <w:rFonts w:eastAsia="Arial" w:cstheme="minorHAnsi"/>
          <w:color w:val="000000" w:themeColor="text1"/>
          <w:sz w:val="22"/>
          <w:szCs w:val="22"/>
        </w:rPr>
        <w:t xml:space="preserve"> e Leão (2018)</w:t>
      </w:r>
      <w:r w:rsidRPr="00400662">
        <w:rPr>
          <w:rFonts w:eastAsia="Arial" w:cstheme="minorHAnsi"/>
          <w:color w:val="000000" w:themeColor="text1"/>
          <w:sz w:val="22"/>
          <w:szCs w:val="22"/>
        </w:rPr>
        <w:t xml:space="preserve">, buscando analisar como a PHC pode estruturar práticas pedagógicas inclusivas, especialmente no atendimento aos estudantes com TEA. </w:t>
      </w:r>
      <w:r w:rsidR="00C11048" w:rsidRPr="00C21F23">
        <w:rPr>
          <w:rFonts w:eastAsia="Arial" w:cstheme="minorHAnsi"/>
          <w:color w:val="000000" w:themeColor="text1"/>
          <w:sz w:val="22"/>
          <w:szCs w:val="22"/>
        </w:rPr>
        <w:t>Nesse sentido, a</w:t>
      </w:r>
      <w:r w:rsidRPr="00400662">
        <w:rPr>
          <w:rFonts w:eastAsia="Arial" w:cstheme="minorHAnsi"/>
          <w:color w:val="000000" w:themeColor="text1"/>
          <w:sz w:val="22"/>
          <w:szCs w:val="22"/>
        </w:rPr>
        <w:t xml:space="preserve"> PHC, desenvolvida por Saviani a partir do materialismo histórico-dialético, propõe a articulação entre teoria e prática por meio de cinco momentos metodológicos</w:t>
      </w:r>
      <w:r w:rsidR="00677D79">
        <w:rPr>
          <w:rFonts w:eastAsia="Arial" w:cstheme="minorHAnsi"/>
          <w:color w:val="000000" w:themeColor="text1"/>
          <w:sz w:val="22"/>
          <w:szCs w:val="22"/>
        </w:rPr>
        <w:t xml:space="preserve">. </w:t>
      </w:r>
      <w:r w:rsidRPr="00400662">
        <w:rPr>
          <w:rFonts w:eastAsia="Arial" w:cstheme="minorHAnsi"/>
          <w:color w:val="000000" w:themeColor="text1"/>
          <w:sz w:val="22"/>
          <w:szCs w:val="22"/>
        </w:rPr>
        <w:t>No primeiro momento, denominado prática social como ponto de partida, o ponto central é a investigação da realidade concreta do estudante</w:t>
      </w:r>
      <w:r w:rsidR="00F42E53" w:rsidRPr="00C21F23">
        <w:rPr>
          <w:rFonts w:eastAsia="Arial" w:cstheme="minorHAnsi"/>
          <w:color w:val="000000" w:themeColor="text1"/>
          <w:sz w:val="22"/>
          <w:szCs w:val="22"/>
        </w:rPr>
        <w:t xml:space="preserve"> (SAVIANI, 2018)</w:t>
      </w:r>
      <w:r w:rsidRPr="00400662">
        <w:rPr>
          <w:rFonts w:eastAsia="Arial" w:cstheme="minorHAnsi"/>
          <w:color w:val="000000" w:themeColor="text1"/>
          <w:sz w:val="22"/>
          <w:szCs w:val="22"/>
        </w:rPr>
        <w:t>. Isso implica considerar suas experiências, suas limitações e potencialidades, como propõe Vigotski (1991), ao defender que o desenvolvimento ocorre por meio das interações sociais mediadas. A noção de Zona de Desenvolvimento Proximal (ZDP) é fundamental aqui: o professor deve conhecer onde o estudante com TEA se encontra para, a partir disso, planejar as intervenções que o possibilitem avançar. O segundo momento, a problematização, consiste em romper com a visão sincrética e imediatista que os alunos — sobretudo aqueles com dificuldades cognitivas e comunicativas, como os que estão no espectro autista — tendem a ter da realidade</w:t>
      </w:r>
      <w:r w:rsidR="00EF221B" w:rsidRPr="00C21F23">
        <w:rPr>
          <w:rFonts w:eastAsia="Arial" w:cstheme="minorHAnsi"/>
          <w:color w:val="000000" w:themeColor="text1"/>
          <w:sz w:val="22"/>
          <w:szCs w:val="22"/>
        </w:rPr>
        <w:t xml:space="preserve"> (SAVIANI, 2018)</w:t>
      </w:r>
      <w:r w:rsidRPr="00400662">
        <w:rPr>
          <w:rFonts w:eastAsia="Arial" w:cstheme="minorHAnsi"/>
          <w:color w:val="000000" w:themeColor="text1"/>
          <w:sz w:val="22"/>
          <w:szCs w:val="22"/>
        </w:rPr>
        <w:t>. É nesse estágio que se criam condições para que o estudante identifique os desafios que enfrenta e perceba a necessidade do conhecimento para superá-los. Como destaca Hudson (2019), muitas vezes alunos com TEA compreendem o mundo de forma literal, apresentando dificuldades para abstrair ou interpretar metáforas. Por isso, o uso de narrativas visuais, perguntas instigadoras e atividades simbólicas deve ser planejado cuidadosamente para favorecer o deslocamento da compreensão ingênua para formas mais elaboradas de pensamento</w:t>
      </w:r>
      <w:r w:rsidR="00EF221B" w:rsidRPr="00C21F23">
        <w:rPr>
          <w:rFonts w:eastAsia="Arial" w:cstheme="minorHAnsi"/>
          <w:color w:val="000000" w:themeColor="text1"/>
          <w:sz w:val="22"/>
          <w:szCs w:val="22"/>
        </w:rPr>
        <w:t xml:space="preserve">. </w:t>
      </w:r>
      <w:r w:rsidR="00957974">
        <w:rPr>
          <w:rFonts w:eastAsia="Arial" w:cstheme="minorHAnsi"/>
          <w:color w:val="000000" w:themeColor="text1"/>
          <w:sz w:val="22"/>
          <w:szCs w:val="22"/>
        </w:rPr>
        <w:t>O</w:t>
      </w:r>
      <w:r w:rsidRPr="00400662">
        <w:rPr>
          <w:rFonts w:eastAsia="Arial" w:cstheme="minorHAnsi"/>
          <w:color w:val="000000" w:themeColor="text1"/>
          <w:sz w:val="22"/>
          <w:szCs w:val="22"/>
        </w:rPr>
        <w:t xml:space="preserve"> terceiro momento é a instrumentalização, ou seja, a introdução sistematizada do conhecimento historicamente produzido pela humanidade. Trata-se da apropriação dos instrumentos culturais — científicos, estéticos, éticos — que possibilitam ao sujeito transformar sua relação com o mundo</w:t>
      </w:r>
      <w:r w:rsidR="00EF221B" w:rsidRPr="00C21F23">
        <w:rPr>
          <w:rFonts w:eastAsia="Arial" w:cstheme="minorHAnsi"/>
          <w:color w:val="000000" w:themeColor="text1"/>
          <w:sz w:val="22"/>
          <w:szCs w:val="22"/>
        </w:rPr>
        <w:t xml:space="preserve"> (SAVIANI, 2013, 2018)</w:t>
      </w:r>
      <w:r w:rsidRPr="00400662">
        <w:rPr>
          <w:rFonts w:eastAsia="Arial" w:cstheme="minorHAnsi"/>
          <w:color w:val="000000" w:themeColor="text1"/>
          <w:sz w:val="22"/>
          <w:szCs w:val="22"/>
        </w:rPr>
        <w:t xml:space="preserve">. Para os estudantes com TEA, essa mediação requer metodologias acessíveis, como o uso de recursos visuais, agendas estruturadas e tecnologia </w:t>
      </w:r>
      <w:r w:rsidRPr="00400662">
        <w:rPr>
          <w:rFonts w:eastAsia="Arial" w:cstheme="minorHAnsi"/>
          <w:color w:val="000000" w:themeColor="text1"/>
          <w:sz w:val="22"/>
          <w:szCs w:val="22"/>
        </w:rPr>
        <w:lastRenderedPageBreak/>
        <w:t>assistiva, mas sem renunciar ao conteúdo</w:t>
      </w:r>
      <w:r w:rsidR="00153D2B" w:rsidRPr="00C21F23">
        <w:rPr>
          <w:rFonts w:eastAsia="Arial" w:cstheme="minorHAnsi"/>
          <w:color w:val="000000" w:themeColor="text1"/>
          <w:sz w:val="22"/>
          <w:szCs w:val="22"/>
        </w:rPr>
        <w:t xml:space="preserve"> (LEÃO, 2018)</w:t>
      </w:r>
      <w:r w:rsidRPr="00400662">
        <w:rPr>
          <w:rFonts w:eastAsia="Arial" w:cstheme="minorHAnsi"/>
          <w:color w:val="000000" w:themeColor="text1"/>
          <w:sz w:val="22"/>
          <w:szCs w:val="22"/>
        </w:rPr>
        <w:t>.</w:t>
      </w:r>
      <w:r w:rsidR="00153D2B" w:rsidRPr="00C21F23">
        <w:rPr>
          <w:rFonts w:eastAsia="Arial" w:cstheme="minorHAnsi"/>
          <w:color w:val="000000" w:themeColor="text1"/>
          <w:sz w:val="22"/>
          <w:szCs w:val="22"/>
        </w:rPr>
        <w:t xml:space="preserve"> </w:t>
      </w:r>
      <w:r w:rsidRPr="00400662">
        <w:rPr>
          <w:rFonts w:eastAsia="Arial" w:cstheme="minorHAnsi"/>
          <w:color w:val="000000" w:themeColor="text1"/>
          <w:sz w:val="22"/>
          <w:szCs w:val="22"/>
        </w:rPr>
        <w:t>O quarto momento é a catarse, entendido como a transformação qualitativa da consciência</w:t>
      </w:r>
      <w:r w:rsidR="00957974">
        <w:rPr>
          <w:rFonts w:eastAsia="Arial" w:cstheme="minorHAnsi"/>
          <w:color w:val="000000" w:themeColor="text1"/>
          <w:sz w:val="22"/>
          <w:szCs w:val="22"/>
        </w:rPr>
        <w:t xml:space="preserve"> (SAVIANI, 2018)</w:t>
      </w:r>
      <w:r w:rsidRPr="00400662">
        <w:rPr>
          <w:rFonts w:eastAsia="Arial" w:cstheme="minorHAnsi"/>
          <w:color w:val="000000" w:themeColor="text1"/>
          <w:sz w:val="22"/>
          <w:szCs w:val="22"/>
        </w:rPr>
        <w:t>. Vigotski (2021), ao tratar da defectologia, reforça que todo sujeito, independentemente de suas limitações, possui potencialidades que podem ser desenvolvidas por meio de intervenções adequadas e mediadas. Assim, a catarse no processo educativo de um estudante com TEA se expressa, por exemplo, na superação de respostas mecânicas, na compreensão mais ampla de normas sociais ou na capacidade de elaborar suas próprias estratégias de autorregulação</w:t>
      </w:r>
      <w:r w:rsidR="00D242F9" w:rsidRPr="00C21F23">
        <w:rPr>
          <w:rFonts w:eastAsia="Arial" w:cstheme="minorHAnsi"/>
          <w:color w:val="000000" w:themeColor="text1"/>
          <w:sz w:val="22"/>
          <w:szCs w:val="22"/>
        </w:rPr>
        <w:t xml:space="preserve"> (HUDSON, 2019)</w:t>
      </w:r>
      <w:r w:rsidRPr="00400662">
        <w:rPr>
          <w:rFonts w:eastAsia="Arial" w:cstheme="minorHAnsi"/>
          <w:color w:val="000000" w:themeColor="text1"/>
          <w:sz w:val="22"/>
          <w:szCs w:val="22"/>
        </w:rPr>
        <w:t>.</w:t>
      </w:r>
      <w:r w:rsidR="00D242F9" w:rsidRPr="00C21F23">
        <w:rPr>
          <w:rFonts w:eastAsia="Arial" w:cstheme="minorHAnsi"/>
          <w:color w:val="000000" w:themeColor="text1"/>
          <w:sz w:val="22"/>
          <w:szCs w:val="22"/>
        </w:rPr>
        <w:t xml:space="preserve"> </w:t>
      </w:r>
      <w:r w:rsidRPr="00400662">
        <w:rPr>
          <w:rFonts w:eastAsia="Arial" w:cstheme="minorHAnsi"/>
          <w:color w:val="000000" w:themeColor="text1"/>
          <w:sz w:val="22"/>
          <w:szCs w:val="22"/>
        </w:rPr>
        <w:t>Por fim,</w:t>
      </w:r>
      <w:r w:rsidR="00677D79">
        <w:rPr>
          <w:rFonts w:eastAsia="Arial" w:cstheme="minorHAnsi"/>
          <w:color w:val="000000" w:themeColor="text1"/>
          <w:sz w:val="22"/>
          <w:szCs w:val="22"/>
        </w:rPr>
        <w:t xml:space="preserve"> </w:t>
      </w:r>
      <w:r w:rsidRPr="00400662">
        <w:rPr>
          <w:rFonts w:eastAsia="Arial" w:cstheme="minorHAnsi"/>
          <w:color w:val="000000" w:themeColor="text1"/>
          <w:sz w:val="22"/>
          <w:szCs w:val="22"/>
        </w:rPr>
        <w:t>a prática social como ponto de chegada, o estudante retorna ao mundo real transformado. Não se trata de uma simples repetição do ponto de partida, mas de uma nova inserção, mais consciente, crítica e autônoma</w:t>
      </w:r>
      <w:r w:rsidR="00D242F9" w:rsidRPr="00C21F23">
        <w:rPr>
          <w:rFonts w:eastAsia="Arial" w:cstheme="minorHAnsi"/>
          <w:color w:val="000000" w:themeColor="text1"/>
          <w:sz w:val="22"/>
          <w:szCs w:val="22"/>
        </w:rPr>
        <w:t xml:space="preserve"> (SAVIANI, 2018)</w:t>
      </w:r>
      <w:r w:rsidRPr="00400662">
        <w:rPr>
          <w:rFonts w:eastAsia="Arial" w:cstheme="minorHAnsi"/>
          <w:color w:val="000000" w:themeColor="text1"/>
          <w:sz w:val="22"/>
          <w:szCs w:val="22"/>
        </w:rPr>
        <w:t>. No caso do estudante com TEA, esse retorno implica maior participação nas atividades escolares, capacidade de se comunicar com mais clareza e compreensão mais profunda das interações sociais</w:t>
      </w:r>
      <w:r w:rsidR="005B67F3">
        <w:rPr>
          <w:rFonts w:eastAsia="Arial" w:cstheme="minorHAnsi"/>
          <w:color w:val="000000" w:themeColor="text1"/>
          <w:sz w:val="22"/>
          <w:szCs w:val="22"/>
        </w:rPr>
        <w:t xml:space="preserve"> (LEÃO, 2018)</w:t>
      </w:r>
      <w:r w:rsidRPr="00400662">
        <w:rPr>
          <w:rFonts w:eastAsia="Arial" w:cstheme="minorHAnsi"/>
          <w:color w:val="000000" w:themeColor="text1"/>
          <w:sz w:val="22"/>
          <w:szCs w:val="22"/>
        </w:rPr>
        <w:t>. Hudson (2019) reforça que, com apoio adequado, muitos estudantes no espectro podem atingir elevados níveis de autonomia e aprendizagem, inclusive desenvolvendo talentos específicos. A educação inclusiva, portanto, não se reduz à adaptação, mas à criação de condições para que todos se desenvolvam plenamente como sujeitos históricos</w:t>
      </w:r>
      <w:r w:rsidR="004303A1" w:rsidRPr="00C21F23">
        <w:rPr>
          <w:rFonts w:eastAsia="Arial" w:cstheme="minorHAnsi"/>
          <w:color w:val="000000" w:themeColor="text1"/>
          <w:sz w:val="22"/>
          <w:szCs w:val="22"/>
        </w:rPr>
        <w:t xml:space="preserve"> </w:t>
      </w:r>
      <w:r w:rsidR="001B07D9" w:rsidRPr="00C21F23">
        <w:rPr>
          <w:rFonts w:eastAsia="Arial" w:cstheme="minorHAnsi"/>
          <w:color w:val="000000" w:themeColor="text1"/>
          <w:sz w:val="22"/>
          <w:szCs w:val="22"/>
        </w:rPr>
        <w:t>(</w:t>
      </w:r>
      <w:r w:rsidR="001B07D9" w:rsidRPr="00400662">
        <w:rPr>
          <w:rFonts w:eastAsia="Arial" w:cstheme="minorHAnsi"/>
          <w:color w:val="000000" w:themeColor="text1"/>
          <w:sz w:val="22"/>
          <w:szCs w:val="22"/>
        </w:rPr>
        <w:t>VIGOTSKI</w:t>
      </w:r>
      <w:r w:rsidR="001B07D9">
        <w:rPr>
          <w:rFonts w:eastAsia="Arial" w:cstheme="minorHAnsi"/>
          <w:color w:val="000000" w:themeColor="text1"/>
          <w:sz w:val="22"/>
          <w:szCs w:val="22"/>
        </w:rPr>
        <w:t xml:space="preserve">, </w:t>
      </w:r>
      <w:r w:rsidR="005B67F3" w:rsidRPr="00400662">
        <w:rPr>
          <w:rFonts w:eastAsia="Arial" w:cstheme="minorHAnsi"/>
          <w:color w:val="000000" w:themeColor="text1"/>
          <w:sz w:val="22"/>
          <w:szCs w:val="22"/>
        </w:rPr>
        <w:t>2021</w:t>
      </w:r>
      <w:r w:rsidR="004303A1" w:rsidRPr="00C21F23">
        <w:rPr>
          <w:rFonts w:eastAsia="Arial" w:cstheme="minorHAnsi"/>
          <w:color w:val="000000" w:themeColor="text1"/>
          <w:sz w:val="22"/>
          <w:szCs w:val="22"/>
        </w:rPr>
        <w:t>)</w:t>
      </w:r>
      <w:r w:rsidRPr="00400662">
        <w:rPr>
          <w:rFonts w:eastAsia="Arial" w:cstheme="minorHAnsi"/>
          <w:color w:val="000000" w:themeColor="text1"/>
          <w:sz w:val="22"/>
          <w:szCs w:val="22"/>
        </w:rPr>
        <w:t>.</w:t>
      </w:r>
      <w:r w:rsidR="004303A1" w:rsidRPr="00C21F23">
        <w:rPr>
          <w:rFonts w:eastAsia="Arial" w:cstheme="minorHAnsi"/>
          <w:color w:val="000000" w:themeColor="text1"/>
          <w:sz w:val="22"/>
          <w:szCs w:val="22"/>
        </w:rPr>
        <w:t xml:space="preserve"> </w:t>
      </w:r>
      <w:r w:rsidRPr="00400662">
        <w:rPr>
          <w:rFonts w:eastAsia="Arial" w:cstheme="minorHAnsi"/>
          <w:color w:val="000000" w:themeColor="text1"/>
          <w:sz w:val="22"/>
          <w:szCs w:val="22"/>
        </w:rPr>
        <w:t>Conclui-se, assim, que a inclusão real de estudantes com TEA só é possível por meio de uma prática pedagógica crítica, consciente de seus condicionantes históricos e sociais. Nesse horizonte, a educação inclusiva se torna, de fato, um projeto de humanidade.</w:t>
      </w:r>
    </w:p>
    <w:p w14:paraId="3F31DED8" w14:textId="77777777" w:rsidR="00400662" w:rsidRPr="00D22E16" w:rsidRDefault="00400662" w:rsidP="001A4E58">
      <w:pPr>
        <w:spacing w:line="276" w:lineRule="auto"/>
        <w:jc w:val="both"/>
        <w:rPr>
          <w:rFonts w:eastAsia="Arial" w:cstheme="minorHAnsi"/>
          <w:color w:val="000000" w:themeColor="text1"/>
          <w:sz w:val="22"/>
          <w:szCs w:val="22"/>
        </w:rPr>
      </w:pPr>
    </w:p>
    <w:p w14:paraId="44DB1AAB" w14:textId="6D444857" w:rsidR="001A4E58" w:rsidRPr="00D22E16" w:rsidRDefault="001A4E58" w:rsidP="001A4E58">
      <w:pPr>
        <w:spacing w:line="276" w:lineRule="auto"/>
        <w:jc w:val="both"/>
        <w:rPr>
          <w:rFonts w:eastAsia="Arial" w:cstheme="minorHAnsi"/>
          <w:color w:val="000000" w:themeColor="text1"/>
          <w:sz w:val="22"/>
          <w:szCs w:val="22"/>
        </w:rPr>
      </w:pPr>
      <w:r w:rsidRPr="00D22E16">
        <w:rPr>
          <w:rFonts w:eastAsia="Arial" w:cstheme="minorHAnsi"/>
          <w:b/>
          <w:bCs/>
          <w:color w:val="000000" w:themeColor="text1"/>
          <w:sz w:val="22"/>
          <w:szCs w:val="22"/>
        </w:rPr>
        <w:t>Palavras-chave</w:t>
      </w:r>
      <w:r w:rsidRPr="00D22E16">
        <w:rPr>
          <w:rFonts w:eastAsia="Arial" w:cstheme="minorHAnsi"/>
          <w:b/>
          <w:color w:val="000000" w:themeColor="text1"/>
          <w:sz w:val="22"/>
          <w:szCs w:val="22"/>
        </w:rPr>
        <w:t>:</w:t>
      </w:r>
      <w:r w:rsidRPr="00D22E16">
        <w:rPr>
          <w:rFonts w:eastAsia="Arial" w:cstheme="minorHAnsi"/>
          <w:color w:val="000000" w:themeColor="text1"/>
          <w:sz w:val="22"/>
          <w:szCs w:val="22"/>
        </w:rPr>
        <w:t xml:space="preserve"> </w:t>
      </w:r>
      <w:r w:rsidR="005E0B02">
        <w:rPr>
          <w:rFonts w:eastAsia="Arial" w:cstheme="minorHAnsi"/>
          <w:color w:val="000000" w:themeColor="text1"/>
          <w:sz w:val="22"/>
          <w:szCs w:val="22"/>
        </w:rPr>
        <w:t>Educação Especial. Autismo. Realidade Escolar. Processo Educa</w:t>
      </w:r>
      <w:r w:rsidR="00D1780B">
        <w:rPr>
          <w:rFonts w:eastAsia="Arial" w:cstheme="minorHAnsi"/>
          <w:color w:val="000000" w:themeColor="text1"/>
          <w:sz w:val="22"/>
          <w:szCs w:val="22"/>
        </w:rPr>
        <w:t xml:space="preserve">cional. </w:t>
      </w:r>
    </w:p>
    <w:p w14:paraId="415BCA2B" w14:textId="77777777" w:rsidR="001A4E58" w:rsidRPr="00D22E16" w:rsidRDefault="001A4E58" w:rsidP="001A4E58">
      <w:pPr>
        <w:spacing w:line="276" w:lineRule="auto"/>
        <w:jc w:val="both"/>
        <w:rPr>
          <w:rFonts w:cstheme="minorHAnsi"/>
          <w:color w:val="000000" w:themeColor="text1"/>
          <w:sz w:val="22"/>
          <w:szCs w:val="22"/>
        </w:rPr>
      </w:pPr>
    </w:p>
    <w:p w14:paraId="7967BA32" w14:textId="77777777" w:rsidR="001A4E58" w:rsidRPr="00D22E16" w:rsidRDefault="001A4E58" w:rsidP="001A4E58">
      <w:pPr>
        <w:spacing w:line="276" w:lineRule="auto"/>
        <w:jc w:val="both"/>
        <w:rPr>
          <w:rFonts w:eastAsia="Arial" w:cstheme="minorHAnsi"/>
          <w:b/>
          <w:bCs/>
          <w:color w:val="000000" w:themeColor="text1"/>
          <w:sz w:val="22"/>
          <w:szCs w:val="22"/>
        </w:rPr>
      </w:pPr>
      <w:r w:rsidRPr="00D22E16">
        <w:rPr>
          <w:rFonts w:eastAsia="Arial" w:cstheme="minorHAnsi"/>
          <w:b/>
          <w:bCs/>
          <w:color w:val="000000" w:themeColor="text1"/>
          <w:sz w:val="22"/>
          <w:szCs w:val="22"/>
        </w:rPr>
        <w:t xml:space="preserve">REFERÊNCIAS </w:t>
      </w:r>
    </w:p>
    <w:p w14:paraId="25F87307" w14:textId="30689715" w:rsidR="001A4E58" w:rsidRPr="00D22E16" w:rsidRDefault="001A4E58" w:rsidP="00677D79">
      <w:pPr>
        <w:spacing w:line="276" w:lineRule="auto"/>
        <w:jc w:val="both"/>
        <w:rPr>
          <w:rFonts w:eastAsia="Arial" w:cstheme="minorHAnsi"/>
          <w:color w:val="000000" w:themeColor="text1"/>
          <w:sz w:val="22"/>
          <w:szCs w:val="22"/>
        </w:rPr>
      </w:pPr>
    </w:p>
    <w:p w14:paraId="34A7FA29" w14:textId="77777777" w:rsidR="00F85745" w:rsidRPr="0066185F" w:rsidRDefault="00F85745" w:rsidP="00F85745">
      <w:pPr>
        <w:widowControl w:val="0"/>
        <w:autoSpaceDE w:val="0"/>
        <w:autoSpaceDN w:val="0"/>
        <w:spacing w:line="276" w:lineRule="auto"/>
        <w:jc w:val="both"/>
        <w:rPr>
          <w:rFonts w:eastAsia="Arial Unicode MS" w:cstheme="minorHAnsi"/>
          <w:sz w:val="20"/>
          <w:szCs w:val="20"/>
        </w:rPr>
      </w:pPr>
      <w:r w:rsidRPr="00F85745">
        <w:rPr>
          <w:rFonts w:eastAsia="Arial Unicode MS" w:cstheme="minorHAnsi"/>
          <w:sz w:val="20"/>
          <w:szCs w:val="20"/>
        </w:rPr>
        <w:t xml:space="preserve">HUDSON, Diana. </w:t>
      </w:r>
      <w:r w:rsidRPr="00F85745">
        <w:rPr>
          <w:rFonts w:eastAsia="Arial Unicode MS" w:cstheme="minorHAnsi"/>
          <w:b/>
          <w:bCs/>
          <w:sz w:val="20"/>
          <w:szCs w:val="20"/>
        </w:rPr>
        <w:t>Dificuldades Específicas de Aprendizagem:</w:t>
      </w:r>
      <w:r w:rsidRPr="00F85745">
        <w:rPr>
          <w:rFonts w:eastAsia="Arial Unicode MS" w:cstheme="minorHAnsi"/>
          <w:sz w:val="20"/>
          <w:szCs w:val="20"/>
        </w:rPr>
        <w:t xml:space="preserve"> ideias práticas para trabalhar com: Dislexia, Discalculia, Disgrafia, Dispraxia, TDAH, TEA, Síndrome de Asperger, TOC. Tradução de Guilherme Summa. Petrópolis, RJ: Vozes, 2019</w:t>
      </w:r>
    </w:p>
    <w:p w14:paraId="2C52CE21" w14:textId="77777777" w:rsidR="0000440A" w:rsidRPr="00F85745" w:rsidRDefault="0000440A" w:rsidP="00F85745">
      <w:pPr>
        <w:widowControl w:val="0"/>
        <w:autoSpaceDE w:val="0"/>
        <w:autoSpaceDN w:val="0"/>
        <w:spacing w:line="276" w:lineRule="auto"/>
        <w:jc w:val="both"/>
        <w:rPr>
          <w:rFonts w:eastAsia="Arial Unicode MS" w:cstheme="minorHAnsi"/>
          <w:sz w:val="20"/>
          <w:szCs w:val="20"/>
        </w:rPr>
      </w:pPr>
    </w:p>
    <w:p w14:paraId="2B34C98B" w14:textId="2B3F40CB" w:rsidR="00F85745" w:rsidRPr="0066185F" w:rsidRDefault="00F85745" w:rsidP="00F85745">
      <w:pPr>
        <w:pStyle w:val="Padro"/>
        <w:tabs>
          <w:tab w:val="left" w:pos="780"/>
          <w:tab w:val="left" w:pos="2895"/>
        </w:tabs>
        <w:spacing w:line="100" w:lineRule="atLeast"/>
        <w:jc w:val="both"/>
        <w:rPr>
          <w:rFonts w:asciiTheme="minorHAnsi" w:hAnsiTheme="minorHAnsi" w:cs="Arial"/>
          <w:bCs/>
          <w:color w:val="000000"/>
          <w:sz w:val="20"/>
          <w:szCs w:val="20"/>
        </w:rPr>
      </w:pPr>
      <w:r w:rsidRPr="0066185F">
        <w:rPr>
          <w:rFonts w:asciiTheme="minorHAnsi" w:hAnsiTheme="minorHAnsi" w:cs="Arial"/>
          <w:sz w:val="20"/>
          <w:szCs w:val="20"/>
        </w:rPr>
        <w:t xml:space="preserve">LEÃO, </w:t>
      </w:r>
      <w:r w:rsidR="00917A11" w:rsidRPr="0066185F">
        <w:rPr>
          <w:rFonts w:asciiTheme="minorHAnsi" w:hAnsiTheme="minorHAnsi" w:cs="Arial"/>
          <w:sz w:val="20"/>
          <w:szCs w:val="20"/>
        </w:rPr>
        <w:t>Andréia Texeira</w:t>
      </w:r>
      <w:r w:rsidRPr="0066185F">
        <w:rPr>
          <w:rFonts w:asciiTheme="minorHAnsi" w:hAnsiTheme="minorHAnsi" w:cs="Arial"/>
          <w:sz w:val="20"/>
          <w:szCs w:val="20"/>
        </w:rPr>
        <w:t xml:space="preserve">. </w:t>
      </w:r>
      <w:r w:rsidRPr="0066185F">
        <w:rPr>
          <w:rFonts w:asciiTheme="minorHAnsi" w:hAnsiTheme="minorHAnsi" w:cs="Arial"/>
          <w:bCs/>
          <w:sz w:val="20"/>
          <w:szCs w:val="20"/>
        </w:rPr>
        <w:t>Avanços na comunicação de um aluno com Transtorno do Espectro Autista a partir de uma intervenção ancorada na autorregulação da aprendizagem</w:t>
      </w:r>
      <w:r w:rsidRPr="0066185F">
        <w:rPr>
          <w:rFonts w:asciiTheme="minorHAnsi" w:hAnsiTheme="minorHAnsi" w:cs="Arial"/>
          <w:sz w:val="20"/>
          <w:szCs w:val="20"/>
        </w:rPr>
        <w:t xml:space="preserve">. </w:t>
      </w:r>
      <w:r w:rsidR="0066185F" w:rsidRPr="0066185F">
        <w:rPr>
          <w:rFonts w:asciiTheme="minorHAnsi" w:hAnsiTheme="minorHAnsi" w:cs="Arial"/>
          <w:b/>
          <w:bCs/>
          <w:sz w:val="20"/>
          <w:szCs w:val="20"/>
        </w:rPr>
        <w:t>Anais Eletrônicos.</w:t>
      </w:r>
      <w:r w:rsidR="0066185F" w:rsidRPr="0066185F">
        <w:rPr>
          <w:rFonts w:asciiTheme="minorHAnsi" w:hAnsiTheme="minorHAnsi" w:cs="Arial"/>
          <w:sz w:val="20"/>
          <w:szCs w:val="20"/>
        </w:rPr>
        <w:t xml:space="preserve"> </w:t>
      </w:r>
      <w:r w:rsidRPr="0066185F">
        <w:rPr>
          <w:rFonts w:asciiTheme="minorHAnsi" w:hAnsiTheme="minorHAnsi" w:cs="Arial"/>
          <w:bCs/>
          <w:color w:val="000000"/>
          <w:sz w:val="20"/>
          <w:szCs w:val="20"/>
        </w:rPr>
        <w:t xml:space="preserve">III CINTEDI, Universidade Estadual da Paraíba, Universidade do Chile, Campina Grande – PB, 29 a 31 de Ago. de 2018. </w:t>
      </w:r>
      <w:r w:rsidR="0066185F" w:rsidRPr="0066185F">
        <w:rPr>
          <w:rFonts w:asciiTheme="minorHAnsi" w:hAnsiTheme="minorHAnsi" w:cs="Arial"/>
          <w:bCs/>
          <w:color w:val="000000"/>
          <w:sz w:val="20"/>
          <w:szCs w:val="20"/>
        </w:rPr>
        <w:t xml:space="preserve">Disponível em: </w:t>
      </w:r>
      <w:hyperlink r:id="rId8" w:history="1">
        <w:r w:rsidR="0066185F" w:rsidRPr="0066185F">
          <w:rPr>
            <w:rStyle w:val="Hyperlink"/>
            <w:rFonts w:asciiTheme="minorHAnsi" w:hAnsiTheme="minorHAnsi" w:cs="Arial"/>
            <w:bCs/>
            <w:sz w:val="20"/>
            <w:szCs w:val="20"/>
          </w:rPr>
          <w:t>https://www.editorarealize.com.br/artigo/visualizar/44444</w:t>
        </w:r>
      </w:hyperlink>
      <w:r w:rsidRPr="0066185F">
        <w:rPr>
          <w:rFonts w:asciiTheme="minorHAnsi" w:hAnsiTheme="minorHAnsi" w:cs="Arial"/>
          <w:bCs/>
          <w:color w:val="000000"/>
          <w:sz w:val="20"/>
          <w:szCs w:val="20"/>
        </w:rPr>
        <w:t xml:space="preserve"> </w:t>
      </w:r>
    </w:p>
    <w:p w14:paraId="35F052EA" w14:textId="77777777" w:rsidR="0000440A" w:rsidRPr="0066185F" w:rsidRDefault="0000440A" w:rsidP="00F85745">
      <w:pPr>
        <w:pStyle w:val="Padro"/>
        <w:tabs>
          <w:tab w:val="left" w:pos="780"/>
          <w:tab w:val="left" w:pos="2895"/>
        </w:tabs>
        <w:spacing w:line="100" w:lineRule="atLeast"/>
        <w:jc w:val="both"/>
        <w:rPr>
          <w:rFonts w:asciiTheme="minorHAnsi" w:hAnsiTheme="minorHAnsi" w:cs="Arial"/>
          <w:sz w:val="20"/>
          <w:szCs w:val="20"/>
        </w:rPr>
      </w:pPr>
    </w:p>
    <w:p w14:paraId="23249A63" w14:textId="77777777" w:rsidR="00F85745" w:rsidRPr="0066185F" w:rsidRDefault="00F85745" w:rsidP="00F85745">
      <w:pPr>
        <w:widowControl w:val="0"/>
        <w:autoSpaceDE w:val="0"/>
        <w:autoSpaceDN w:val="0"/>
        <w:spacing w:line="276" w:lineRule="auto"/>
        <w:jc w:val="both"/>
        <w:rPr>
          <w:rFonts w:eastAsia="Arial Unicode MS" w:cstheme="minorHAnsi"/>
          <w:sz w:val="20"/>
          <w:szCs w:val="20"/>
        </w:rPr>
      </w:pPr>
      <w:r w:rsidRPr="00F85745">
        <w:rPr>
          <w:rFonts w:eastAsia="Arial Unicode MS" w:cstheme="minorHAnsi"/>
          <w:sz w:val="20"/>
          <w:szCs w:val="20"/>
        </w:rPr>
        <w:t>SAVIANI, Dermeval.</w:t>
      </w:r>
      <w:r w:rsidRPr="00F85745">
        <w:rPr>
          <w:rFonts w:eastAsia="Arial Unicode MS" w:cstheme="minorHAnsi"/>
          <w:b/>
          <w:bCs/>
          <w:sz w:val="20"/>
          <w:szCs w:val="20"/>
        </w:rPr>
        <w:t xml:space="preserve"> Escola e Democracia.</w:t>
      </w:r>
      <w:r w:rsidRPr="00F85745">
        <w:rPr>
          <w:rFonts w:eastAsia="Arial Unicode MS" w:cstheme="minorHAnsi"/>
          <w:sz w:val="20"/>
          <w:szCs w:val="20"/>
        </w:rPr>
        <w:t xml:space="preserve"> 43. ed. rev. Campinas, SP: Autores Associados, 2018.</w:t>
      </w:r>
    </w:p>
    <w:p w14:paraId="3AD45C21" w14:textId="77777777" w:rsidR="0000440A" w:rsidRPr="00F85745" w:rsidRDefault="0000440A" w:rsidP="00F85745">
      <w:pPr>
        <w:widowControl w:val="0"/>
        <w:autoSpaceDE w:val="0"/>
        <w:autoSpaceDN w:val="0"/>
        <w:spacing w:line="276" w:lineRule="auto"/>
        <w:jc w:val="both"/>
        <w:rPr>
          <w:rFonts w:eastAsia="Arial Unicode MS" w:cstheme="minorHAnsi"/>
          <w:sz w:val="20"/>
          <w:szCs w:val="20"/>
        </w:rPr>
      </w:pPr>
    </w:p>
    <w:p w14:paraId="4E4386FB" w14:textId="77777777" w:rsidR="00F85745" w:rsidRPr="0066185F" w:rsidRDefault="00F85745" w:rsidP="00F85745">
      <w:pPr>
        <w:widowControl w:val="0"/>
        <w:autoSpaceDE w:val="0"/>
        <w:autoSpaceDN w:val="0"/>
        <w:spacing w:line="276" w:lineRule="auto"/>
        <w:jc w:val="both"/>
        <w:rPr>
          <w:rFonts w:eastAsia="Arial Unicode MS" w:cstheme="minorHAnsi"/>
          <w:sz w:val="20"/>
          <w:szCs w:val="20"/>
        </w:rPr>
      </w:pPr>
      <w:r w:rsidRPr="0066185F">
        <w:rPr>
          <w:rFonts w:eastAsia="Arial Unicode MS" w:cstheme="minorHAnsi"/>
          <w:sz w:val="20"/>
          <w:szCs w:val="20"/>
        </w:rPr>
        <w:t>S</w:t>
      </w:r>
      <w:r w:rsidRPr="00F85745">
        <w:rPr>
          <w:rFonts w:eastAsia="Arial Unicode MS" w:cstheme="minorHAnsi"/>
          <w:sz w:val="20"/>
          <w:szCs w:val="20"/>
        </w:rPr>
        <w:t xml:space="preserve">AVIANI, Dermeval. </w:t>
      </w:r>
      <w:r w:rsidRPr="00F85745">
        <w:rPr>
          <w:rFonts w:eastAsia="Arial Unicode MS" w:cstheme="minorHAnsi"/>
          <w:b/>
          <w:bCs/>
          <w:sz w:val="20"/>
          <w:szCs w:val="20"/>
        </w:rPr>
        <w:t xml:space="preserve">Pedagogia Histórico-Crítica: </w:t>
      </w:r>
      <w:r w:rsidRPr="00F85745">
        <w:rPr>
          <w:rFonts w:eastAsia="Arial Unicode MS" w:cstheme="minorHAnsi"/>
          <w:sz w:val="20"/>
          <w:szCs w:val="20"/>
        </w:rPr>
        <w:t>primeiras aproximações. 11. ed. rev. Campinas, SP: Autores Associados, 2013.</w:t>
      </w:r>
    </w:p>
    <w:p w14:paraId="2E8AD2ED" w14:textId="77777777" w:rsidR="0000440A" w:rsidRPr="00F85745" w:rsidRDefault="0000440A" w:rsidP="00F85745">
      <w:pPr>
        <w:widowControl w:val="0"/>
        <w:autoSpaceDE w:val="0"/>
        <w:autoSpaceDN w:val="0"/>
        <w:spacing w:line="276" w:lineRule="auto"/>
        <w:jc w:val="both"/>
        <w:rPr>
          <w:rFonts w:eastAsia="Arial Unicode MS" w:cstheme="minorHAnsi"/>
          <w:sz w:val="20"/>
          <w:szCs w:val="20"/>
        </w:rPr>
      </w:pPr>
    </w:p>
    <w:p w14:paraId="0F9E1BCF" w14:textId="77777777" w:rsidR="00F85745" w:rsidRPr="0066185F" w:rsidRDefault="00F85745" w:rsidP="00F85745">
      <w:pPr>
        <w:widowControl w:val="0"/>
        <w:autoSpaceDE w:val="0"/>
        <w:autoSpaceDN w:val="0"/>
        <w:spacing w:line="276" w:lineRule="auto"/>
        <w:jc w:val="both"/>
        <w:rPr>
          <w:rFonts w:eastAsia="Arial Unicode MS" w:cstheme="minorHAnsi"/>
          <w:sz w:val="20"/>
          <w:szCs w:val="20"/>
        </w:rPr>
      </w:pPr>
      <w:r w:rsidRPr="00F85745">
        <w:rPr>
          <w:rFonts w:eastAsia="Arial Unicode MS" w:cstheme="minorHAnsi"/>
          <w:sz w:val="20"/>
          <w:szCs w:val="20"/>
        </w:rPr>
        <w:t xml:space="preserve">VIGOTSKI, Lev Semionovitch. </w:t>
      </w:r>
      <w:r w:rsidRPr="00F85745">
        <w:rPr>
          <w:rFonts w:eastAsia="Arial Unicode MS" w:cstheme="minorHAnsi"/>
          <w:b/>
          <w:bCs/>
          <w:sz w:val="20"/>
          <w:szCs w:val="20"/>
        </w:rPr>
        <w:t>A formação social da mente</w:t>
      </w:r>
      <w:r w:rsidRPr="00F85745">
        <w:rPr>
          <w:rFonts w:eastAsia="Arial Unicode MS" w:cstheme="minorHAnsi"/>
          <w:sz w:val="20"/>
          <w:szCs w:val="20"/>
        </w:rPr>
        <w:t>. 4. ed. Organizadores: Michael Cole, Vera John-Steiner, Sylvia Scribner, Ellen Souberman; Tradução: José Cipolla Neto, Luis Silveira Menna Barreto, Solange Castro Afeche. São Paulo – SP: Martins Fontes Editora Ltda, 1991.</w:t>
      </w:r>
    </w:p>
    <w:p w14:paraId="5D494E80" w14:textId="77777777" w:rsidR="0000440A" w:rsidRPr="00F85745" w:rsidRDefault="0000440A" w:rsidP="00F85745">
      <w:pPr>
        <w:widowControl w:val="0"/>
        <w:autoSpaceDE w:val="0"/>
        <w:autoSpaceDN w:val="0"/>
        <w:spacing w:line="276" w:lineRule="auto"/>
        <w:jc w:val="both"/>
        <w:rPr>
          <w:rFonts w:eastAsia="Arial Unicode MS" w:cstheme="minorHAnsi"/>
          <w:sz w:val="20"/>
          <w:szCs w:val="20"/>
        </w:rPr>
      </w:pPr>
    </w:p>
    <w:p w14:paraId="61A47311" w14:textId="7CDF3A80" w:rsidR="00C8139C" w:rsidRPr="0066185F" w:rsidRDefault="00F85745" w:rsidP="0066185F">
      <w:pPr>
        <w:widowControl w:val="0"/>
        <w:autoSpaceDE w:val="0"/>
        <w:autoSpaceDN w:val="0"/>
        <w:spacing w:line="276" w:lineRule="auto"/>
        <w:jc w:val="both"/>
        <w:rPr>
          <w:rFonts w:eastAsia="Arial Unicode MS" w:cstheme="minorHAnsi"/>
          <w:sz w:val="20"/>
          <w:szCs w:val="20"/>
        </w:rPr>
      </w:pPr>
      <w:r w:rsidRPr="00F85745">
        <w:rPr>
          <w:rFonts w:eastAsia="Arial Unicode MS" w:cstheme="minorHAnsi"/>
          <w:sz w:val="20"/>
          <w:szCs w:val="20"/>
        </w:rPr>
        <w:t xml:space="preserve">VIGOTSKI, Lev Semionovitch. </w:t>
      </w:r>
      <w:r w:rsidRPr="00F85745">
        <w:rPr>
          <w:rFonts w:eastAsia="Arial Unicode MS" w:cstheme="minorHAnsi"/>
          <w:b/>
          <w:bCs/>
          <w:sz w:val="20"/>
          <w:szCs w:val="20"/>
        </w:rPr>
        <w:t>Problemas da defectologia</w:t>
      </w:r>
      <w:r w:rsidRPr="00F85745">
        <w:rPr>
          <w:rFonts w:eastAsia="Arial Unicode MS" w:cstheme="minorHAnsi"/>
          <w:sz w:val="20"/>
          <w:szCs w:val="20"/>
        </w:rPr>
        <w:t xml:space="preserve"> v. 1. Organização, edição, tradução e revisão técnica de Zoia Prestes e Elizabeth Tunes. São Paulo: Expressão Popular, 2021.</w:t>
      </w:r>
    </w:p>
    <w:sectPr w:rsidR="00C8139C" w:rsidRPr="0066185F" w:rsidSect="004F0C58">
      <w:headerReference w:type="default" r:id="rId9"/>
      <w:footerReference w:type="default" r:id="rId10"/>
      <w:pgSz w:w="11906" w:h="16838"/>
      <w:pgMar w:top="1418" w:right="1418" w:bottom="1418" w:left="1701" w:header="18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A075F" w14:textId="77777777" w:rsidR="00A174D7" w:rsidRDefault="00A174D7" w:rsidP="0073319B">
      <w:r>
        <w:separator/>
      </w:r>
    </w:p>
  </w:endnote>
  <w:endnote w:type="continuationSeparator" w:id="0">
    <w:p w14:paraId="12CEFE1F" w14:textId="77777777" w:rsidR="00A174D7" w:rsidRDefault="00A174D7" w:rsidP="0073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itstream Vera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169713"/>
      <w:placeholder>
        <w:docPart w:val="8E0C0E7667D24F66899B3136DFA2A19D"/>
      </w:placeholder>
      <w:temporary/>
      <w:showingPlcHdr/>
      <w15:appearance w15:val="hidden"/>
    </w:sdtPr>
    <w:sdtContent>
      <w:p w14:paraId="3DCC4399" w14:textId="77777777" w:rsidR="00DA1A52" w:rsidRDefault="00DA1A52">
        <w:pPr>
          <w:pStyle w:val="Rodap"/>
        </w:pPr>
        <w:r>
          <w:t>[Digite aqui]</w:t>
        </w:r>
      </w:p>
    </w:sdtContent>
  </w:sdt>
  <w:p w14:paraId="28538161" w14:textId="77777777" w:rsidR="00DA1A52" w:rsidRDefault="00DA1A5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9CB75" w14:textId="77777777" w:rsidR="00A174D7" w:rsidRDefault="00A174D7" w:rsidP="0073319B">
      <w:r>
        <w:separator/>
      </w:r>
    </w:p>
  </w:footnote>
  <w:footnote w:type="continuationSeparator" w:id="0">
    <w:p w14:paraId="77038FB5" w14:textId="77777777" w:rsidR="00A174D7" w:rsidRDefault="00A174D7" w:rsidP="0073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5636" w14:textId="0EC9BF1B" w:rsidR="00DA1A52" w:rsidRDefault="00DA1A52">
    <w:pPr>
      <w:pStyle w:val="Cabealho"/>
    </w:pPr>
    <w:r>
      <w:rPr>
        <w:noProof/>
      </w:rPr>
      <w:drawing>
        <wp:anchor distT="0" distB="0" distL="114300" distR="114300" simplePos="0" relativeHeight="251661312" behindDoc="1" locked="0" layoutInCell="1" allowOverlap="1" wp14:anchorId="6CB53444" wp14:editId="7EA2FD26">
          <wp:simplePos x="0" y="0"/>
          <wp:positionH relativeFrom="page">
            <wp:posOffset>0</wp:posOffset>
          </wp:positionH>
          <wp:positionV relativeFrom="page">
            <wp:posOffset>-47625</wp:posOffset>
          </wp:positionV>
          <wp:extent cx="7642225" cy="10810875"/>
          <wp:effectExtent l="0" t="0" r="0" b="9525"/>
          <wp:wrapNone/>
          <wp:docPr id="2098799346"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231311"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642225" cy="108108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25D5FBE" wp14:editId="0943AD52">
          <wp:simplePos x="0" y="0"/>
          <wp:positionH relativeFrom="page">
            <wp:align>left</wp:align>
          </wp:positionH>
          <wp:positionV relativeFrom="page">
            <wp:posOffset>-45720</wp:posOffset>
          </wp:positionV>
          <wp:extent cx="8394700" cy="11875344"/>
          <wp:effectExtent l="0" t="0" r="6350" b="0"/>
          <wp:wrapNone/>
          <wp:docPr id="1035083582"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231311"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8394700" cy="11875344"/>
                  </a:xfrm>
                  <a:prstGeom prst="rect">
                    <a:avLst/>
                  </a:prstGeom>
                </pic:spPr>
              </pic:pic>
            </a:graphicData>
          </a:graphic>
          <wp14:sizeRelH relativeFrom="page">
            <wp14:pctWidth>0</wp14:pctWidth>
          </wp14:sizeRelH>
          <wp14:sizeRelV relativeFrom="page">
            <wp14:pctHeight>0</wp14:pctHeight>
          </wp14:sizeRelV>
        </wp:anchor>
      </w:drawing>
    </w:r>
  </w:p>
  <w:p w14:paraId="72B8EBFD" w14:textId="77777777" w:rsidR="00DA1A52" w:rsidRDefault="00DA1A5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664C8"/>
    <w:multiLevelType w:val="hybridMultilevel"/>
    <w:tmpl w:val="148214D4"/>
    <w:lvl w:ilvl="0" w:tplc="60760064">
      <w:start w:val="1"/>
      <w:numFmt w:val="lowerLetter"/>
      <w:lvlText w:val="%1)"/>
      <w:lvlJc w:val="left"/>
      <w:pPr>
        <w:ind w:left="644" w:hanging="360"/>
      </w:pPr>
      <w:rPr>
        <w:b w:val="0"/>
        <w:bCs/>
      </w:rPr>
    </w:lvl>
    <w:lvl w:ilvl="1" w:tplc="04160019" w:tentative="1">
      <w:start w:val="1"/>
      <w:numFmt w:val="lowerLetter"/>
      <w:lvlText w:val="%2."/>
      <w:lvlJc w:val="left"/>
      <w:pPr>
        <w:ind w:left="-4720" w:hanging="360"/>
      </w:pPr>
    </w:lvl>
    <w:lvl w:ilvl="2" w:tplc="0416001B" w:tentative="1">
      <w:start w:val="1"/>
      <w:numFmt w:val="lowerRoman"/>
      <w:lvlText w:val="%3."/>
      <w:lvlJc w:val="right"/>
      <w:pPr>
        <w:ind w:left="-4000" w:hanging="180"/>
      </w:pPr>
    </w:lvl>
    <w:lvl w:ilvl="3" w:tplc="0416000F" w:tentative="1">
      <w:start w:val="1"/>
      <w:numFmt w:val="decimal"/>
      <w:lvlText w:val="%4."/>
      <w:lvlJc w:val="left"/>
      <w:pPr>
        <w:ind w:left="-3280" w:hanging="360"/>
      </w:pPr>
    </w:lvl>
    <w:lvl w:ilvl="4" w:tplc="04160019" w:tentative="1">
      <w:start w:val="1"/>
      <w:numFmt w:val="lowerLetter"/>
      <w:lvlText w:val="%5."/>
      <w:lvlJc w:val="left"/>
      <w:pPr>
        <w:ind w:left="-2560" w:hanging="360"/>
      </w:pPr>
    </w:lvl>
    <w:lvl w:ilvl="5" w:tplc="0416001B" w:tentative="1">
      <w:start w:val="1"/>
      <w:numFmt w:val="lowerRoman"/>
      <w:lvlText w:val="%6."/>
      <w:lvlJc w:val="right"/>
      <w:pPr>
        <w:ind w:left="-1840" w:hanging="180"/>
      </w:pPr>
    </w:lvl>
    <w:lvl w:ilvl="6" w:tplc="0416000F" w:tentative="1">
      <w:start w:val="1"/>
      <w:numFmt w:val="decimal"/>
      <w:lvlText w:val="%7."/>
      <w:lvlJc w:val="left"/>
      <w:pPr>
        <w:ind w:left="-1120" w:hanging="360"/>
      </w:pPr>
    </w:lvl>
    <w:lvl w:ilvl="7" w:tplc="04160019" w:tentative="1">
      <w:start w:val="1"/>
      <w:numFmt w:val="lowerLetter"/>
      <w:lvlText w:val="%8."/>
      <w:lvlJc w:val="left"/>
      <w:pPr>
        <w:ind w:left="-400" w:hanging="360"/>
      </w:pPr>
    </w:lvl>
    <w:lvl w:ilvl="8" w:tplc="0416001B" w:tentative="1">
      <w:start w:val="1"/>
      <w:numFmt w:val="lowerRoman"/>
      <w:lvlText w:val="%9."/>
      <w:lvlJc w:val="right"/>
      <w:pPr>
        <w:ind w:left="320" w:hanging="180"/>
      </w:pPr>
    </w:lvl>
  </w:abstractNum>
  <w:abstractNum w:abstractNumId="1" w15:restartNumberingAfterBreak="0">
    <w:nsid w:val="205A496A"/>
    <w:multiLevelType w:val="hybridMultilevel"/>
    <w:tmpl w:val="7BD62EA2"/>
    <w:lvl w:ilvl="0" w:tplc="62BAE5CC">
      <w:start w:val="1"/>
      <w:numFmt w:val="lowerLetter"/>
      <w:lvlText w:val="%1)"/>
      <w:lvlJc w:val="left"/>
      <w:pPr>
        <w:ind w:left="360" w:hanging="360"/>
      </w:pPr>
      <w:rPr>
        <w:b w:val="0"/>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23052D75"/>
    <w:multiLevelType w:val="multilevel"/>
    <w:tmpl w:val="B40CD504"/>
    <w:lvl w:ilvl="0">
      <w:start w:val="1"/>
      <w:numFmt w:val="lowerLetter"/>
      <w:lvlText w:val="%1)"/>
      <w:lvlJc w:val="left"/>
      <w:pPr>
        <w:tabs>
          <w:tab w:val="num" w:pos="720"/>
        </w:tabs>
        <w:ind w:left="720" w:hanging="360"/>
      </w:pPr>
      <w:rPr>
        <w:rFonts w:hint="default"/>
        <w:b w:val="0"/>
        <w:bCs/>
        <w:sz w:val="22"/>
        <w:szCs w:val="22"/>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C4BBE"/>
    <w:multiLevelType w:val="hybridMultilevel"/>
    <w:tmpl w:val="AE4E83E2"/>
    <w:lvl w:ilvl="0" w:tplc="10284A40">
      <w:start w:val="11"/>
      <w:numFmt w:val="decimal"/>
      <w:lvlText w:val="%1"/>
      <w:lvlJc w:val="left"/>
      <w:pPr>
        <w:ind w:left="720" w:hanging="360"/>
      </w:pPr>
    </w:lvl>
    <w:lvl w:ilvl="1" w:tplc="04160019">
      <w:start w:val="1"/>
      <w:numFmt w:val="lowerLetter"/>
      <w:lvlText w:val="%2."/>
      <w:lvlJc w:val="left"/>
      <w:pPr>
        <w:ind w:left="1440" w:hanging="360"/>
      </w:pPr>
    </w:lvl>
    <w:lvl w:ilvl="2" w:tplc="1CA414E8">
      <w:start w:val="1"/>
      <w:numFmt w:val="lowerLetter"/>
      <w:lvlText w:val="%3)"/>
      <w:lvlJc w:val="left"/>
      <w:pPr>
        <w:ind w:left="464" w:hanging="180"/>
      </w:pPr>
      <w:rPr>
        <w:b w:val="0"/>
        <w:bCs w:val="0"/>
      </w:r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3F38113E"/>
    <w:multiLevelType w:val="hybridMultilevel"/>
    <w:tmpl w:val="46743FD2"/>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C4B86D24">
      <w:start w:val="1"/>
      <w:numFmt w:val="lowerLetter"/>
      <w:lvlText w:val="%3)"/>
      <w:lvlJc w:val="left"/>
      <w:pPr>
        <w:ind w:left="2586" w:hanging="180"/>
      </w:pPr>
      <w:rPr>
        <w:b w:val="0"/>
        <w:bCs w:val="0"/>
      </w:r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5" w15:restartNumberingAfterBreak="0">
    <w:nsid w:val="57C857A6"/>
    <w:multiLevelType w:val="hybridMultilevel"/>
    <w:tmpl w:val="857692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B223EAD"/>
    <w:multiLevelType w:val="multilevel"/>
    <w:tmpl w:val="79588F3A"/>
    <w:lvl w:ilvl="0">
      <w:start w:val="1"/>
      <w:numFmt w:val="lowerLetter"/>
      <w:lvlText w:val="%1)"/>
      <w:lvlJc w:val="left"/>
      <w:pPr>
        <w:tabs>
          <w:tab w:val="num" w:pos="720"/>
        </w:tabs>
        <w:ind w:left="720" w:hanging="360"/>
      </w:pPr>
      <w:rPr>
        <w:rFonts w:hint="default"/>
        <w:b w:val="0"/>
        <w:bCs/>
        <w:sz w:val="22"/>
        <w:szCs w:val="22"/>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E8279A"/>
    <w:multiLevelType w:val="hybridMultilevel"/>
    <w:tmpl w:val="6BC26516"/>
    <w:lvl w:ilvl="0" w:tplc="736EB4DA">
      <w:start w:val="1"/>
      <w:numFmt w:val="lowerLetter"/>
      <w:lvlText w:val="%1)"/>
      <w:lvlJc w:val="left"/>
      <w:pPr>
        <w:ind w:left="360" w:hanging="360"/>
      </w:pPr>
      <w:rPr>
        <w:b w:val="0"/>
        <w:bCs/>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8" w15:restartNumberingAfterBreak="0">
    <w:nsid w:val="7AA31E98"/>
    <w:multiLevelType w:val="hybridMultilevel"/>
    <w:tmpl w:val="7DE2CAB2"/>
    <w:lvl w:ilvl="0" w:tplc="99B068CA">
      <w:start w:val="1"/>
      <w:numFmt w:val="lowerLetter"/>
      <w:lvlText w:val="%1)"/>
      <w:lvlJc w:val="left"/>
      <w:pPr>
        <w:ind w:left="2486" w:hanging="360"/>
      </w:pPr>
      <w:rPr>
        <w:b w:val="0"/>
        <w:bCs w:val="0"/>
        <w:color w:val="auto"/>
      </w:rPr>
    </w:lvl>
    <w:lvl w:ilvl="1" w:tplc="04160003">
      <w:start w:val="1"/>
      <w:numFmt w:val="bullet"/>
      <w:lvlText w:val="o"/>
      <w:lvlJc w:val="left"/>
      <w:pPr>
        <w:ind w:left="3206" w:hanging="360"/>
      </w:pPr>
      <w:rPr>
        <w:rFonts w:ascii="Courier New" w:hAnsi="Courier New" w:cs="Courier New" w:hint="default"/>
      </w:rPr>
    </w:lvl>
    <w:lvl w:ilvl="2" w:tplc="04160005">
      <w:start w:val="1"/>
      <w:numFmt w:val="bullet"/>
      <w:lvlText w:val=""/>
      <w:lvlJc w:val="left"/>
      <w:pPr>
        <w:ind w:left="3926" w:hanging="360"/>
      </w:pPr>
      <w:rPr>
        <w:rFonts w:ascii="Wingdings" w:hAnsi="Wingdings" w:hint="default"/>
      </w:rPr>
    </w:lvl>
    <w:lvl w:ilvl="3" w:tplc="04160001">
      <w:start w:val="1"/>
      <w:numFmt w:val="bullet"/>
      <w:lvlText w:val=""/>
      <w:lvlJc w:val="left"/>
      <w:pPr>
        <w:ind w:left="4646" w:hanging="360"/>
      </w:pPr>
      <w:rPr>
        <w:rFonts w:ascii="Symbol" w:hAnsi="Symbol" w:hint="default"/>
      </w:rPr>
    </w:lvl>
    <w:lvl w:ilvl="4" w:tplc="04160003">
      <w:start w:val="1"/>
      <w:numFmt w:val="bullet"/>
      <w:lvlText w:val="o"/>
      <w:lvlJc w:val="left"/>
      <w:pPr>
        <w:ind w:left="5366" w:hanging="360"/>
      </w:pPr>
      <w:rPr>
        <w:rFonts w:ascii="Courier New" w:hAnsi="Courier New" w:cs="Courier New" w:hint="default"/>
      </w:rPr>
    </w:lvl>
    <w:lvl w:ilvl="5" w:tplc="04160005">
      <w:start w:val="1"/>
      <w:numFmt w:val="bullet"/>
      <w:lvlText w:val=""/>
      <w:lvlJc w:val="left"/>
      <w:pPr>
        <w:ind w:left="6086" w:hanging="360"/>
      </w:pPr>
      <w:rPr>
        <w:rFonts w:ascii="Wingdings" w:hAnsi="Wingdings" w:hint="default"/>
      </w:rPr>
    </w:lvl>
    <w:lvl w:ilvl="6" w:tplc="04160001">
      <w:start w:val="1"/>
      <w:numFmt w:val="bullet"/>
      <w:lvlText w:val=""/>
      <w:lvlJc w:val="left"/>
      <w:pPr>
        <w:ind w:left="6806" w:hanging="360"/>
      </w:pPr>
      <w:rPr>
        <w:rFonts w:ascii="Symbol" w:hAnsi="Symbol" w:hint="default"/>
      </w:rPr>
    </w:lvl>
    <w:lvl w:ilvl="7" w:tplc="04160003">
      <w:start w:val="1"/>
      <w:numFmt w:val="bullet"/>
      <w:lvlText w:val="o"/>
      <w:lvlJc w:val="left"/>
      <w:pPr>
        <w:ind w:left="7526" w:hanging="360"/>
      </w:pPr>
      <w:rPr>
        <w:rFonts w:ascii="Courier New" w:hAnsi="Courier New" w:cs="Courier New" w:hint="default"/>
      </w:rPr>
    </w:lvl>
    <w:lvl w:ilvl="8" w:tplc="04160005">
      <w:start w:val="1"/>
      <w:numFmt w:val="bullet"/>
      <w:lvlText w:val=""/>
      <w:lvlJc w:val="left"/>
      <w:pPr>
        <w:ind w:left="8246" w:hanging="360"/>
      </w:pPr>
      <w:rPr>
        <w:rFonts w:ascii="Wingdings" w:hAnsi="Wingdings" w:hint="default"/>
      </w:rPr>
    </w:lvl>
  </w:abstractNum>
  <w:num w:numId="1" w16cid:durableId="1501265026">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53181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3801913">
    <w:abstractNumId w:val="8"/>
  </w:num>
  <w:num w:numId="4" w16cid:durableId="1577086153">
    <w:abstractNumId w:val="1"/>
  </w:num>
  <w:num w:numId="5" w16cid:durableId="899750834">
    <w:abstractNumId w:val="5"/>
  </w:num>
  <w:num w:numId="6" w16cid:durableId="460080428">
    <w:abstractNumId w:val="2"/>
  </w:num>
  <w:num w:numId="7" w16cid:durableId="1349991943">
    <w:abstractNumId w:val="4"/>
  </w:num>
  <w:num w:numId="8" w16cid:durableId="1263146520">
    <w:abstractNumId w:val="0"/>
  </w:num>
  <w:num w:numId="9" w16cid:durableId="15103720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9B"/>
    <w:rsid w:val="0000440A"/>
    <w:rsid w:val="000C2DEC"/>
    <w:rsid w:val="00102979"/>
    <w:rsid w:val="001030AF"/>
    <w:rsid w:val="00153D2B"/>
    <w:rsid w:val="001A4E58"/>
    <w:rsid w:val="001B07D9"/>
    <w:rsid w:val="001B1631"/>
    <w:rsid w:val="001D2613"/>
    <w:rsid w:val="00300B30"/>
    <w:rsid w:val="0032157A"/>
    <w:rsid w:val="0035789F"/>
    <w:rsid w:val="0038615A"/>
    <w:rsid w:val="00400662"/>
    <w:rsid w:val="004303A1"/>
    <w:rsid w:val="004B1DB9"/>
    <w:rsid w:val="004F0C58"/>
    <w:rsid w:val="00505294"/>
    <w:rsid w:val="005772AA"/>
    <w:rsid w:val="005B67F3"/>
    <w:rsid w:val="005E0B02"/>
    <w:rsid w:val="00607DE9"/>
    <w:rsid w:val="00645BFC"/>
    <w:rsid w:val="0066185F"/>
    <w:rsid w:val="00677D79"/>
    <w:rsid w:val="006F120A"/>
    <w:rsid w:val="0073319B"/>
    <w:rsid w:val="0074459B"/>
    <w:rsid w:val="008C4F1A"/>
    <w:rsid w:val="008E33BA"/>
    <w:rsid w:val="00917A11"/>
    <w:rsid w:val="00940EE4"/>
    <w:rsid w:val="00957974"/>
    <w:rsid w:val="009855FD"/>
    <w:rsid w:val="009A737D"/>
    <w:rsid w:val="00A174D7"/>
    <w:rsid w:val="00A36BC4"/>
    <w:rsid w:val="00A43A33"/>
    <w:rsid w:val="00A70CC1"/>
    <w:rsid w:val="00AF2E23"/>
    <w:rsid w:val="00BE6191"/>
    <w:rsid w:val="00C11048"/>
    <w:rsid w:val="00C21F23"/>
    <w:rsid w:val="00C8139C"/>
    <w:rsid w:val="00C95012"/>
    <w:rsid w:val="00CD27E9"/>
    <w:rsid w:val="00D1780B"/>
    <w:rsid w:val="00D242F9"/>
    <w:rsid w:val="00D71EEF"/>
    <w:rsid w:val="00DA1A52"/>
    <w:rsid w:val="00E901ED"/>
    <w:rsid w:val="00E915F8"/>
    <w:rsid w:val="00EA559A"/>
    <w:rsid w:val="00EA7E99"/>
    <w:rsid w:val="00EF221B"/>
    <w:rsid w:val="00F11708"/>
    <w:rsid w:val="00F42E53"/>
    <w:rsid w:val="00F85745"/>
    <w:rsid w:val="00F95290"/>
    <w:rsid w:val="00FE75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E9561"/>
  <w15:chartTrackingRefBased/>
  <w15:docId w15:val="{97961F30-3187-4196-93D7-53EBC599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294"/>
    <w:pPr>
      <w:spacing w:after="0" w:line="240" w:lineRule="auto"/>
    </w:pPr>
    <w:rPr>
      <w:kern w:val="0"/>
      <w14:ligatures w14:val="none"/>
    </w:rPr>
  </w:style>
  <w:style w:type="paragraph" w:styleId="Ttulo1">
    <w:name w:val="heading 1"/>
    <w:basedOn w:val="Normal"/>
    <w:next w:val="Normal"/>
    <w:link w:val="Ttulo1Char"/>
    <w:uiPriority w:val="9"/>
    <w:qFormat/>
    <w:rsid w:val="00733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733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3319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3319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3319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3319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3319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3319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3319B"/>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3319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73319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3319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3319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3319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3319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3319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3319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3319B"/>
    <w:rPr>
      <w:rFonts w:eastAsiaTheme="majorEastAsia" w:cstheme="majorBidi"/>
      <w:color w:val="272727" w:themeColor="text1" w:themeTint="D8"/>
    </w:rPr>
  </w:style>
  <w:style w:type="paragraph" w:styleId="Ttulo">
    <w:name w:val="Title"/>
    <w:basedOn w:val="Normal"/>
    <w:next w:val="Normal"/>
    <w:link w:val="TtuloChar"/>
    <w:uiPriority w:val="10"/>
    <w:qFormat/>
    <w:rsid w:val="0073319B"/>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3319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3319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3319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3319B"/>
    <w:pPr>
      <w:spacing w:before="160"/>
      <w:jc w:val="center"/>
    </w:pPr>
    <w:rPr>
      <w:i/>
      <w:iCs/>
      <w:color w:val="404040" w:themeColor="text1" w:themeTint="BF"/>
    </w:rPr>
  </w:style>
  <w:style w:type="character" w:customStyle="1" w:styleId="CitaoChar">
    <w:name w:val="Citação Char"/>
    <w:basedOn w:val="Fontepargpadro"/>
    <w:link w:val="Citao"/>
    <w:uiPriority w:val="29"/>
    <w:rsid w:val="0073319B"/>
    <w:rPr>
      <w:i/>
      <w:iCs/>
      <w:color w:val="404040" w:themeColor="text1" w:themeTint="BF"/>
    </w:rPr>
  </w:style>
  <w:style w:type="paragraph" w:styleId="PargrafodaLista">
    <w:name w:val="List Paragraph"/>
    <w:basedOn w:val="Normal"/>
    <w:uiPriority w:val="34"/>
    <w:qFormat/>
    <w:rsid w:val="0073319B"/>
    <w:pPr>
      <w:ind w:left="720"/>
      <w:contextualSpacing/>
    </w:pPr>
  </w:style>
  <w:style w:type="character" w:styleId="nfaseIntensa">
    <w:name w:val="Intense Emphasis"/>
    <w:basedOn w:val="Fontepargpadro"/>
    <w:uiPriority w:val="21"/>
    <w:qFormat/>
    <w:rsid w:val="0073319B"/>
    <w:rPr>
      <w:i/>
      <w:iCs/>
      <w:color w:val="0F4761" w:themeColor="accent1" w:themeShade="BF"/>
    </w:rPr>
  </w:style>
  <w:style w:type="paragraph" w:styleId="CitaoIntensa">
    <w:name w:val="Intense Quote"/>
    <w:basedOn w:val="Normal"/>
    <w:next w:val="Normal"/>
    <w:link w:val="CitaoIntensaChar"/>
    <w:uiPriority w:val="30"/>
    <w:qFormat/>
    <w:rsid w:val="00733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3319B"/>
    <w:rPr>
      <w:i/>
      <w:iCs/>
      <w:color w:val="0F4761" w:themeColor="accent1" w:themeShade="BF"/>
    </w:rPr>
  </w:style>
  <w:style w:type="character" w:styleId="RefernciaIntensa">
    <w:name w:val="Intense Reference"/>
    <w:basedOn w:val="Fontepargpadro"/>
    <w:uiPriority w:val="32"/>
    <w:qFormat/>
    <w:rsid w:val="0073319B"/>
    <w:rPr>
      <w:b/>
      <w:bCs/>
      <w:smallCaps/>
      <w:color w:val="0F4761" w:themeColor="accent1" w:themeShade="BF"/>
      <w:spacing w:val="5"/>
    </w:rPr>
  </w:style>
  <w:style w:type="paragraph" w:styleId="Cabealho">
    <w:name w:val="header"/>
    <w:basedOn w:val="Normal"/>
    <w:link w:val="CabealhoChar"/>
    <w:uiPriority w:val="99"/>
    <w:unhideWhenUsed/>
    <w:rsid w:val="0073319B"/>
    <w:pPr>
      <w:tabs>
        <w:tab w:val="center" w:pos="4252"/>
        <w:tab w:val="right" w:pos="8504"/>
      </w:tabs>
    </w:pPr>
  </w:style>
  <w:style w:type="character" w:customStyle="1" w:styleId="CabealhoChar">
    <w:name w:val="Cabeçalho Char"/>
    <w:basedOn w:val="Fontepargpadro"/>
    <w:link w:val="Cabealho"/>
    <w:uiPriority w:val="99"/>
    <w:rsid w:val="0073319B"/>
  </w:style>
  <w:style w:type="paragraph" w:styleId="Rodap">
    <w:name w:val="footer"/>
    <w:basedOn w:val="Normal"/>
    <w:link w:val="RodapChar"/>
    <w:uiPriority w:val="99"/>
    <w:unhideWhenUsed/>
    <w:rsid w:val="0073319B"/>
    <w:pPr>
      <w:tabs>
        <w:tab w:val="center" w:pos="4252"/>
        <w:tab w:val="right" w:pos="8504"/>
      </w:tabs>
    </w:pPr>
  </w:style>
  <w:style w:type="character" w:customStyle="1" w:styleId="RodapChar">
    <w:name w:val="Rodapé Char"/>
    <w:basedOn w:val="Fontepargpadro"/>
    <w:link w:val="Rodap"/>
    <w:uiPriority w:val="99"/>
    <w:rsid w:val="0073319B"/>
  </w:style>
  <w:style w:type="table" w:styleId="Tabelacomgrade">
    <w:name w:val="Table Grid"/>
    <w:basedOn w:val="Tabelanormal"/>
    <w:uiPriority w:val="59"/>
    <w:rsid w:val="00505294"/>
    <w:pPr>
      <w:spacing w:after="0" w:line="240" w:lineRule="auto"/>
    </w:pPr>
    <w:rPr>
      <w:rFonts w:ascii="Cambria" w:eastAsia="Cambria" w:hAnsi="Cambria"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Fontepargpadro"/>
    <w:uiPriority w:val="99"/>
    <w:unhideWhenUsed/>
    <w:rsid w:val="00505294"/>
    <w:rPr>
      <w:color w:val="467886" w:themeColor="hyperlink"/>
      <w:u w:val="single"/>
    </w:rPr>
  </w:style>
  <w:style w:type="character" w:styleId="MenoPendente">
    <w:name w:val="Unresolved Mention"/>
    <w:basedOn w:val="Fontepargpadro"/>
    <w:uiPriority w:val="99"/>
    <w:semiHidden/>
    <w:unhideWhenUsed/>
    <w:rsid w:val="00505294"/>
    <w:rPr>
      <w:color w:val="605E5C"/>
      <w:shd w:val="clear" w:color="auto" w:fill="E1DFDD"/>
    </w:rPr>
  </w:style>
  <w:style w:type="paragraph" w:customStyle="1" w:styleId="BCAuthorAddress">
    <w:name w:val="BC_Author_Address"/>
    <w:basedOn w:val="Normal"/>
    <w:next w:val="Normal"/>
    <w:rsid w:val="001A4E58"/>
    <w:pPr>
      <w:overflowPunct w:val="0"/>
      <w:autoSpaceDE w:val="0"/>
      <w:autoSpaceDN w:val="0"/>
      <w:adjustRightInd w:val="0"/>
      <w:spacing w:after="120" w:line="240" w:lineRule="exact"/>
      <w:ind w:right="3024"/>
      <w:textAlignment w:val="baseline"/>
    </w:pPr>
    <w:rPr>
      <w:rFonts w:ascii="Times" w:eastAsia="Times New Roman" w:hAnsi="Times" w:cs="Times"/>
      <w:i/>
      <w:iCs/>
      <w:sz w:val="20"/>
      <w:szCs w:val="20"/>
      <w:lang w:val="en-US"/>
    </w:rPr>
  </w:style>
  <w:style w:type="paragraph" w:customStyle="1" w:styleId="Padro">
    <w:name w:val="Padrão"/>
    <w:qFormat/>
    <w:rsid w:val="00F85745"/>
    <w:pPr>
      <w:tabs>
        <w:tab w:val="left" w:pos="709"/>
      </w:tabs>
      <w:suppressAutoHyphens/>
      <w:spacing w:after="0" w:line="259" w:lineRule="atLeast"/>
    </w:pPr>
    <w:rPr>
      <w:rFonts w:ascii="Calibri" w:eastAsia="Bitstream Vera Sans" w:hAnsi="Calibri"/>
      <w:color w:val="00000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10152">
      <w:bodyDiv w:val="1"/>
      <w:marLeft w:val="0"/>
      <w:marRight w:val="0"/>
      <w:marTop w:val="0"/>
      <w:marBottom w:val="0"/>
      <w:divBdr>
        <w:top w:val="none" w:sz="0" w:space="0" w:color="auto"/>
        <w:left w:val="none" w:sz="0" w:space="0" w:color="auto"/>
        <w:bottom w:val="none" w:sz="0" w:space="0" w:color="auto"/>
        <w:right w:val="none" w:sz="0" w:space="0" w:color="auto"/>
      </w:divBdr>
    </w:div>
    <w:div w:id="673147756">
      <w:bodyDiv w:val="1"/>
      <w:marLeft w:val="0"/>
      <w:marRight w:val="0"/>
      <w:marTop w:val="0"/>
      <w:marBottom w:val="0"/>
      <w:divBdr>
        <w:top w:val="none" w:sz="0" w:space="0" w:color="auto"/>
        <w:left w:val="none" w:sz="0" w:space="0" w:color="auto"/>
        <w:bottom w:val="none" w:sz="0" w:space="0" w:color="auto"/>
        <w:right w:val="none" w:sz="0" w:space="0" w:color="auto"/>
      </w:divBdr>
    </w:div>
    <w:div w:id="1028795433">
      <w:bodyDiv w:val="1"/>
      <w:marLeft w:val="0"/>
      <w:marRight w:val="0"/>
      <w:marTop w:val="0"/>
      <w:marBottom w:val="0"/>
      <w:divBdr>
        <w:top w:val="none" w:sz="0" w:space="0" w:color="auto"/>
        <w:left w:val="none" w:sz="0" w:space="0" w:color="auto"/>
        <w:bottom w:val="none" w:sz="0" w:space="0" w:color="auto"/>
        <w:right w:val="none" w:sz="0" w:space="0" w:color="auto"/>
      </w:divBdr>
    </w:div>
    <w:div w:id="1408531127">
      <w:bodyDiv w:val="1"/>
      <w:marLeft w:val="0"/>
      <w:marRight w:val="0"/>
      <w:marTop w:val="0"/>
      <w:marBottom w:val="0"/>
      <w:divBdr>
        <w:top w:val="none" w:sz="0" w:space="0" w:color="auto"/>
        <w:left w:val="none" w:sz="0" w:space="0" w:color="auto"/>
        <w:bottom w:val="none" w:sz="0" w:space="0" w:color="auto"/>
        <w:right w:val="none" w:sz="0" w:space="0" w:color="auto"/>
      </w:divBdr>
    </w:div>
    <w:div w:id="1640065666">
      <w:bodyDiv w:val="1"/>
      <w:marLeft w:val="0"/>
      <w:marRight w:val="0"/>
      <w:marTop w:val="0"/>
      <w:marBottom w:val="0"/>
      <w:divBdr>
        <w:top w:val="none" w:sz="0" w:space="0" w:color="auto"/>
        <w:left w:val="none" w:sz="0" w:space="0" w:color="auto"/>
        <w:bottom w:val="none" w:sz="0" w:space="0" w:color="auto"/>
        <w:right w:val="none" w:sz="0" w:space="0" w:color="auto"/>
      </w:divBdr>
    </w:div>
    <w:div w:id="194622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itorarealize.com.br/artigo/visualizar/4444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0C0E7667D24F66899B3136DFA2A19D"/>
        <w:category>
          <w:name w:val="Geral"/>
          <w:gallery w:val="placeholder"/>
        </w:category>
        <w:types>
          <w:type w:val="bbPlcHdr"/>
        </w:types>
        <w:behaviors>
          <w:behavior w:val="content"/>
        </w:behaviors>
        <w:guid w:val="{D01E0B84-D3DA-4E1D-9ADD-D0B1B83905A2}"/>
      </w:docPartPr>
      <w:docPartBody>
        <w:p w:rsidR="000C44A2" w:rsidRDefault="000C44A2" w:rsidP="000C44A2">
          <w:pPr>
            <w:pStyle w:val="8E0C0E7667D24F66899B3136DFA2A19D"/>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itstream Vera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4A2"/>
    <w:rsid w:val="000C44A2"/>
    <w:rsid w:val="00102979"/>
    <w:rsid w:val="001F1A9C"/>
    <w:rsid w:val="0021305B"/>
    <w:rsid w:val="00300B30"/>
    <w:rsid w:val="006F120A"/>
    <w:rsid w:val="00940EE4"/>
    <w:rsid w:val="00F46E0D"/>
    <w:rsid w:val="00FE75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8E0C0E7667D24F66899B3136DFA2A19D">
    <w:name w:val="8E0C0E7667D24F66899B3136DFA2A19D"/>
    <w:rsid w:val="000C44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97DA-E7E1-43F5-8B64-7496CCA4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Pages>
  <Words>967</Words>
  <Characters>5226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VIEIRA MACEDO</dc:creator>
  <cp:keywords/>
  <dc:description/>
  <cp:lastModifiedBy>Andre Henrique Boazejewski Pereira</cp:lastModifiedBy>
  <cp:revision>7</cp:revision>
  <dcterms:created xsi:type="dcterms:W3CDTF">2024-12-18T14:01:00Z</dcterms:created>
  <dcterms:modified xsi:type="dcterms:W3CDTF">2025-07-09T10:55:00Z</dcterms:modified>
</cp:coreProperties>
</file>